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16C02" w14:textId="77777777" w:rsidR="00B00650" w:rsidRDefault="00B00650" w:rsidP="006D7528">
      <w:pPr>
        <w:pStyle w:val="Authors"/>
        <w:jc w:val="center"/>
        <w:rPr>
          <w:kern w:val="32"/>
          <w:sz w:val="36"/>
          <w:szCs w:val="36"/>
        </w:rPr>
      </w:pPr>
      <w:r w:rsidRPr="006D7528">
        <w:rPr>
          <w:kern w:val="32"/>
          <w:sz w:val="36"/>
          <w:szCs w:val="36"/>
        </w:rPr>
        <w:t>Distribution of uranium, thorium and potassium in the Bayer process</w:t>
      </w:r>
    </w:p>
    <w:p w14:paraId="1F1947E5" w14:textId="5BABD30B" w:rsidR="00B00650" w:rsidRDefault="00B00650" w:rsidP="006D7528">
      <w:pPr>
        <w:pStyle w:val="Affiliation"/>
        <w:jc w:val="center"/>
        <w:rPr>
          <w:vertAlign w:val="superscript"/>
        </w:rPr>
      </w:pPr>
      <w:r w:rsidRPr="006D7528">
        <w:rPr>
          <w:b/>
          <w:bCs/>
          <w:sz w:val="28"/>
          <w:szCs w:val="28"/>
        </w:rPr>
        <w:t>A. Goronovski</w:t>
      </w:r>
      <w:r w:rsidRPr="006D7528">
        <w:rPr>
          <w:b/>
          <w:bCs/>
          <w:sz w:val="28"/>
          <w:szCs w:val="28"/>
          <w:vertAlign w:val="superscript"/>
        </w:rPr>
        <w:t>1</w:t>
      </w:r>
      <w:r w:rsidRPr="006D7528">
        <w:rPr>
          <w:b/>
          <w:bCs/>
          <w:sz w:val="28"/>
          <w:szCs w:val="28"/>
        </w:rPr>
        <w:t>, J. Vind</w:t>
      </w:r>
      <w:r w:rsidRPr="006D7528">
        <w:rPr>
          <w:b/>
          <w:bCs/>
          <w:sz w:val="28"/>
          <w:szCs w:val="28"/>
          <w:vertAlign w:val="superscript"/>
        </w:rPr>
        <w:t>2</w:t>
      </w:r>
      <w:r w:rsidR="00BB5DD5" w:rsidRPr="00AC596B">
        <w:rPr>
          <w:b/>
          <w:sz w:val="28"/>
          <w:vertAlign w:val="superscript"/>
        </w:rPr>
        <w:t>,</w:t>
      </w:r>
      <w:r w:rsidR="00AC596B">
        <w:rPr>
          <w:b/>
          <w:sz w:val="28"/>
          <w:vertAlign w:val="superscript"/>
        </w:rPr>
        <w:t xml:space="preserve"> </w:t>
      </w:r>
      <w:r w:rsidR="00BB5DD5">
        <w:rPr>
          <w:b/>
          <w:bCs/>
          <w:sz w:val="28"/>
          <w:szCs w:val="28"/>
          <w:vertAlign w:val="superscript"/>
        </w:rPr>
        <w:t>3</w:t>
      </w:r>
      <w:r w:rsidRPr="006D7528">
        <w:rPr>
          <w:b/>
          <w:bCs/>
          <w:sz w:val="28"/>
          <w:szCs w:val="28"/>
        </w:rPr>
        <w:t>, V. Vassiliadou</w:t>
      </w:r>
      <w:r w:rsidRPr="006D7528">
        <w:rPr>
          <w:b/>
          <w:bCs/>
          <w:sz w:val="28"/>
          <w:szCs w:val="28"/>
          <w:vertAlign w:val="superscript"/>
        </w:rPr>
        <w:t>2</w:t>
      </w:r>
      <w:r w:rsidRPr="006D7528">
        <w:rPr>
          <w:b/>
          <w:bCs/>
          <w:sz w:val="28"/>
          <w:szCs w:val="28"/>
        </w:rPr>
        <w:t>, D. Panias</w:t>
      </w:r>
      <w:r w:rsidRPr="006D7528">
        <w:rPr>
          <w:b/>
          <w:bCs/>
          <w:sz w:val="28"/>
          <w:szCs w:val="28"/>
          <w:vertAlign w:val="superscript"/>
        </w:rPr>
        <w:t>3</w:t>
      </w:r>
      <w:r w:rsidRPr="006D7528">
        <w:rPr>
          <w:b/>
          <w:bCs/>
          <w:sz w:val="28"/>
          <w:szCs w:val="28"/>
        </w:rPr>
        <w:t>, A. H. Tkaczyk</w:t>
      </w:r>
      <w:r w:rsidRPr="006D7528">
        <w:rPr>
          <w:b/>
          <w:bCs/>
          <w:sz w:val="28"/>
          <w:szCs w:val="28"/>
          <w:vertAlign w:val="superscript"/>
        </w:rPr>
        <w:t>1</w:t>
      </w:r>
    </w:p>
    <w:p w14:paraId="27E7D464" w14:textId="6283DE75" w:rsidR="00B00650" w:rsidRPr="00281AA3" w:rsidRDefault="00B00650" w:rsidP="006D7528">
      <w:pPr>
        <w:jc w:val="center"/>
        <w:rPr>
          <w:iCs/>
        </w:rPr>
      </w:pPr>
      <w:r w:rsidRPr="00281AA3">
        <w:rPr>
          <w:iCs/>
          <w:vertAlign w:val="superscript"/>
        </w:rPr>
        <w:t>1</w:t>
      </w:r>
      <w:r w:rsidR="00281AA3">
        <w:rPr>
          <w:iCs/>
          <w:vertAlign w:val="superscript"/>
        </w:rPr>
        <w:t xml:space="preserve"> </w:t>
      </w:r>
      <w:r w:rsidRPr="00281AA3">
        <w:rPr>
          <w:iCs/>
        </w:rPr>
        <w:t>Institute of Physics, University of Tartu, W. Ostwaldi 1, 50411 Tartu, Estonia</w:t>
      </w:r>
    </w:p>
    <w:p w14:paraId="03CBBCA6" w14:textId="77FA29E8" w:rsidR="00B00650" w:rsidRPr="00281AA3" w:rsidRDefault="00B00650" w:rsidP="006D7528">
      <w:pPr>
        <w:jc w:val="center"/>
        <w:rPr>
          <w:iCs/>
        </w:rPr>
      </w:pPr>
      <w:r w:rsidRPr="00281AA3">
        <w:rPr>
          <w:iCs/>
          <w:vertAlign w:val="superscript"/>
        </w:rPr>
        <w:t>2</w:t>
      </w:r>
      <w:r w:rsidR="00281AA3">
        <w:rPr>
          <w:iCs/>
          <w:vertAlign w:val="superscript"/>
        </w:rPr>
        <w:t xml:space="preserve"> </w:t>
      </w:r>
      <w:r w:rsidRPr="00281AA3">
        <w:rPr>
          <w:iCs/>
          <w:color w:val="000000"/>
        </w:rPr>
        <w:t>Aluminium of Greece plant, Metallurgy Business Unit, Mytilineos S.A., Agios Nikolaos, Boeotia, Greece</w:t>
      </w:r>
    </w:p>
    <w:p w14:paraId="3A10E83F" w14:textId="5326AFB4" w:rsidR="00B00650" w:rsidRPr="00281AA3" w:rsidRDefault="00B00650" w:rsidP="006D7528">
      <w:pPr>
        <w:jc w:val="center"/>
        <w:rPr>
          <w:iCs/>
          <w:color w:val="000000"/>
        </w:rPr>
      </w:pPr>
      <w:r w:rsidRPr="00281AA3">
        <w:rPr>
          <w:iCs/>
          <w:color w:val="000000"/>
          <w:vertAlign w:val="superscript"/>
        </w:rPr>
        <w:t>3</w:t>
      </w:r>
      <w:r w:rsidR="00281AA3">
        <w:rPr>
          <w:iCs/>
          <w:color w:val="000000"/>
          <w:vertAlign w:val="superscript"/>
        </w:rPr>
        <w:t xml:space="preserve"> </w:t>
      </w:r>
      <w:r w:rsidRPr="00281AA3">
        <w:rPr>
          <w:iCs/>
          <w:color w:val="000000"/>
        </w:rPr>
        <w:t>School of Mining and Metallurgical Engineering, National Technical University of Athens, Athens, Greece</w:t>
      </w:r>
    </w:p>
    <w:p w14:paraId="35AA9EB7" w14:textId="77777777" w:rsidR="00B00650" w:rsidRPr="006D7528" w:rsidRDefault="00B00650" w:rsidP="006D7528">
      <w:pPr>
        <w:pStyle w:val="Email"/>
        <w:jc w:val="center"/>
        <w:rPr>
          <w:lang w:val="et-EE"/>
        </w:rPr>
      </w:pPr>
      <w:r>
        <w:t>Corresponding author: Andrei Goronovski, e-mail: goronovski</w:t>
      </w:r>
      <w:r>
        <w:rPr>
          <w:lang w:val="et-EE"/>
        </w:rPr>
        <w:t>@gmail.com</w:t>
      </w:r>
    </w:p>
    <w:p w14:paraId="6D97A68C" w14:textId="77777777" w:rsidR="00B00650" w:rsidRPr="007C3E0C" w:rsidRDefault="00B00650" w:rsidP="00CD7C40">
      <w:pPr>
        <w:pStyle w:val="Heading2"/>
      </w:pPr>
      <w:r w:rsidRPr="007C3E0C">
        <w:t>Abstract</w:t>
      </w:r>
    </w:p>
    <w:p w14:paraId="6DDD416B" w14:textId="638DAB93" w:rsidR="00B00650" w:rsidRPr="00633E16" w:rsidRDefault="00B00650" w:rsidP="001C3146">
      <w:pPr>
        <w:pStyle w:val="Abstract"/>
      </w:pPr>
      <w:r>
        <w:t xml:space="preserve">Uranium, thorium, potassium and their decay product mass flows were analysed in the Bayer process. Gamma-ray spectroscopy was used to measure </w:t>
      </w:r>
      <w:r w:rsidR="009A75B0">
        <w:t xml:space="preserve">the </w:t>
      </w:r>
      <w:r>
        <w:t xml:space="preserve">radionuclide content in samples provided by Aluminium of Greece and to model their mass flows. We observed that at any analysed stage, </w:t>
      </w:r>
      <w:r w:rsidR="009A75B0">
        <w:t xml:space="preserve">the </w:t>
      </w:r>
      <w:r>
        <w:t xml:space="preserve">radionuclide content does not exceed </w:t>
      </w:r>
      <w:r w:rsidR="009A75B0">
        <w:t xml:space="preserve">the </w:t>
      </w:r>
      <w:r>
        <w:t xml:space="preserve">allowed safety limits set in the </w:t>
      </w:r>
      <w:bookmarkStart w:id="0" w:name="_GoBack"/>
      <w:bookmarkEnd w:id="0"/>
      <w:r>
        <w:t>European Basic Safety Standard. Another important observation is that a minor portion of uranium from bauxites (3%) ends up in alumina, while the rest is accumulated in the bauxite</w:t>
      </w:r>
      <w:r w:rsidRPr="00633E16">
        <w:t xml:space="preserve"> </w:t>
      </w:r>
      <w:r>
        <w:t xml:space="preserve">residue (BR). All of the </w:t>
      </w:r>
      <w:r w:rsidRPr="001C3146">
        <w:rPr>
          <w:vertAlign w:val="superscript"/>
        </w:rPr>
        <w:t>2</w:t>
      </w:r>
      <w:r>
        <w:rPr>
          <w:vertAlign w:val="superscript"/>
        </w:rPr>
        <w:t>2</w:t>
      </w:r>
      <w:r w:rsidRPr="001C3146">
        <w:rPr>
          <w:vertAlign w:val="superscript"/>
        </w:rPr>
        <w:t>6</w:t>
      </w:r>
      <w:r>
        <w:t xml:space="preserve">Ra (long-lived decay product of uranium), as well as all decay products of thorium accumulated in the BR. We observed accumulation of </w:t>
      </w:r>
      <w:r w:rsidRPr="00757BB3">
        <w:rPr>
          <w:vertAlign w:val="superscript"/>
        </w:rPr>
        <w:t>40</w:t>
      </w:r>
      <w:r>
        <w:t xml:space="preserve">K in the process liquors, while this </w:t>
      </w:r>
      <w:r w:rsidR="005F786B">
        <w:t xml:space="preserve">radionuclide </w:t>
      </w:r>
      <w:r>
        <w:t>was not found in the alumina.</w:t>
      </w:r>
    </w:p>
    <w:p w14:paraId="5C2389C0" w14:textId="77777777" w:rsidR="00B00650" w:rsidRPr="00BA7D7D" w:rsidRDefault="00B00650" w:rsidP="00CD7C40"/>
    <w:p w14:paraId="5A686988" w14:textId="77777777" w:rsidR="00B00650" w:rsidRPr="00BA7D7D" w:rsidRDefault="00B00650" w:rsidP="00CD7C40">
      <w:pPr>
        <w:pStyle w:val="Heading2"/>
      </w:pPr>
      <w:r w:rsidRPr="00BA7D7D">
        <w:t>Introduction</w:t>
      </w:r>
    </w:p>
    <w:p w14:paraId="72A57DFD" w14:textId="6A8F1561" w:rsidR="00B00650" w:rsidRDefault="00B00650" w:rsidP="005C25DE">
      <w:r>
        <w:t xml:space="preserve">The Bayer process is an industrial method used to refine alumina from bauxite by </w:t>
      </w:r>
      <w:r w:rsidR="00D75499" w:rsidRPr="00615F1A">
        <w:t>dissolution of the aluminium containing species in sodium hydroxide, separation of the remaining residue to give a supersaturated solution of sodium aluminate from which aluminium hydroxide is precipitated</w:t>
      </w:r>
      <w:r w:rsidR="00765C0C" w:rsidRPr="00765C0C">
        <w:rPr>
          <w:vertAlign w:val="superscript"/>
        </w:rPr>
        <w:t>1</w:t>
      </w:r>
      <w:r>
        <w:t>.</w:t>
      </w:r>
      <w:r w:rsidRPr="00C767BE">
        <w:t xml:space="preserve"> Aluminium of Greece currently exploits karst</w:t>
      </w:r>
      <w:r>
        <w:t xml:space="preserve"> (also known as diasporic)</w:t>
      </w:r>
      <w:r w:rsidRPr="00C767BE">
        <w:t xml:space="preserve"> bauxites from </w:t>
      </w:r>
      <w:r w:rsidR="009A75B0">
        <w:t xml:space="preserve">the </w:t>
      </w:r>
      <w:r w:rsidRPr="00C767BE">
        <w:t xml:space="preserve">Parnassos-Ghiona </w:t>
      </w:r>
      <w:r>
        <w:t>deposit</w:t>
      </w:r>
      <w:r w:rsidRPr="00C767BE">
        <w:t xml:space="preserve"> in</w:t>
      </w:r>
      <w:r>
        <w:t xml:space="preserve"> Central</w:t>
      </w:r>
      <w:r w:rsidRPr="00C767BE">
        <w:t xml:space="preserve"> Greece and minor amount</w:t>
      </w:r>
      <w:r w:rsidR="001E58CF">
        <w:t>s</w:t>
      </w:r>
      <w:r w:rsidRPr="00C767BE">
        <w:t xml:space="preserve"> of karst bauxite from Turkey</w:t>
      </w:r>
      <w:r>
        <w:t xml:space="preserve"> (</w:t>
      </w:r>
      <w:r w:rsidRPr="00AC36B7">
        <w:t>Mersin mountains and Milas area</w:t>
      </w:r>
      <w:r>
        <w:t>)</w:t>
      </w:r>
      <w:r w:rsidRPr="00C767BE">
        <w:t>.</w:t>
      </w:r>
      <w:r>
        <w:t xml:space="preserve"> </w:t>
      </w:r>
      <w:r w:rsidRPr="00C767BE">
        <w:t xml:space="preserve">One fifth of </w:t>
      </w:r>
      <w:r w:rsidR="001E58CF">
        <w:t xml:space="preserve">the </w:t>
      </w:r>
      <w:r w:rsidRPr="00C767BE">
        <w:t>bauxite feed is lateritic</w:t>
      </w:r>
      <w:r>
        <w:t xml:space="preserve"> (also known as gibbsitic)</w:t>
      </w:r>
      <w:r w:rsidRPr="00C767BE">
        <w:t xml:space="preserve"> bauxite from Brazil</w:t>
      </w:r>
      <w:r>
        <w:t xml:space="preserve"> (Trombetas)</w:t>
      </w:r>
      <w:r w:rsidRPr="00C767BE">
        <w:t>.</w:t>
      </w:r>
      <w:r>
        <w:t xml:space="preserve"> </w:t>
      </w:r>
    </w:p>
    <w:p w14:paraId="51DF4F37" w14:textId="1C74D965" w:rsidR="00B00650" w:rsidRDefault="00B00650" w:rsidP="005C25DE">
      <w:r>
        <w:t>After extraction of aluminum hydroxide, insoluble fractions of bauxite ore as well as secondary materials are accumulated in the by-product, Bauxite Residue (BR), including natural radionuclides (</w:t>
      </w:r>
      <w:r w:rsidRPr="00C767BE">
        <w:rPr>
          <w:vertAlign w:val="superscript"/>
        </w:rPr>
        <w:t>40</w:t>
      </w:r>
      <w:r w:rsidRPr="00D651EB">
        <w:t>K</w:t>
      </w:r>
      <w:r>
        <w:t xml:space="preserve">, </w:t>
      </w:r>
      <w:r w:rsidRPr="00C767BE">
        <w:rPr>
          <w:vertAlign w:val="superscript"/>
        </w:rPr>
        <w:t>232</w:t>
      </w:r>
      <w:r w:rsidRPr="00D651EB">
        <w:t>Th</w:t>
      </w:r>
      <w:r>
        <w:t>,</w:t>
      </w:r>
      <w:r w:rsidRPr="00C767BE">
        <w:rPr>
          <w:vertAlign w:val="superscript"/>
        </w:rPr>
        <w:t xml:space="preserve"> 238</w:t>
      </w:r>
      <w:r w:rsidRPr="00D651EB">
        <w:t>U</w:t>
      </w:r>
      <w:r>
        <w:t xml:space="preserve"> </w:t>
      </w:r>
      <w:r w:rsidRPr="00D651EB">
        <w:t xml:space="preserve">and </w:t>
      </w:r>
      <w:r>
        <w:t xml:space="preserve">their decay products) that appear in feed bauxites. In the current study, a comprehensive radionuclide mass balance through the entire Bayer process was performed to </w:t>
      </w:r>
      <w:r w:rsidRPr="00C53D6E">
        <w:t>(1) establish relations between input and output radionuclide concentrations in the Bayer process so that it can be designed taking into account radiological considerations; (2)</w:t>
      </w:r>
      <w:r w:rsidRPr="004A76B3">
        <w:t xml:space="preserve"> obtain comprehensive radionuclide mass balance knowledge within </w:t>
      </w:r>
      <w:r w:rsidR="001E58CF">
        <w:t xml:space="preserve">the </w:t>
      </w:r>
      <w:r w:rsidRPr="004A76B3">
        <w:lastRenderedPageBreak/>
        <w:t>Bayer process;</w:t>
      </w:r>
      <w:r>
        <w:t xml:space="preserve"> and</w:t>
      </w:r>
      <w:r w:rsidRPr="004A76B3">
        <w:t xml:space="preserve"> (3) aid prospective BR </w:t>
      </w:r>
      <w:r w:rsidR="001E58CF" w:rsidRPr="004A76B3">
        <w:t>utili</w:t>
      </w:r>
      <w:r w:rsidR="001E58CF">
        <w:t>s</w:t>
      </w:r>
      <w:r w:rsidR="001E58CF" w:rsidRPr="004A76B3">
        <w:t xml:space="preserve">ation </w:t>
      </w:r>
      <w:r w:rsidRPr="004A76B3">
        <w:t xml:space="preserve">flowsheets in predicting the behaviour of radionuclides starting from bauxite </w:t>
      </w:r>
      <w:r w:rsidR="001E58CF">
        <w:t>to</w:t>
      </w:r>
      <w:r w:rsidR="001E58CF" w:rsidRPr="004A76B3">
        <w:t xml:space="preserve"> </w:t>
      </w:r>
      <w:r w:rsidRPr="004A76B3">
        <w:t>various final products</w:t>
      </w:r>
      <w:r w:rsidR="00D75499">
        <w:t xml:space="preserve"> within the Bayer process</w:t>
      </w:r>
      <w:r w:rsidRPr="004A76B3">
        <w:t>.</w:t>
      </w:r>
    </w:p>
    <w:p w14:paraId="7EEED801" w14:textId="77777777" w:rsidR="00B00650" w:rsidRDefault="00B00650" w:rsidP="005C25DE">
      <w:pPr>
        <w:pStyle w:val="Heading2"/>
      </w:pPr>
      <w:r w:rsidRPr="00E62A0F">
        <w:t>Methodology</w:t>
      </w:r>
    </w:p>
    <w:p w14:paraId="2BE19533" w14:textId="49C4CA0A" w:rsidR="00B00650" w:rsidRDefault="00B00650" w:rsidP="005C25DE">
      <w:r w:rsidRPr="001724B0">
        <w:t>Gamma-</w:t>
      </w:r>
      <w:r>
        <w:t xml:space="preserve">ray </w:t>
      </w:r>
      <w:r w:rsidRPr="001724B0">
        <w:t xml:space="preserve">spectroscopy </w:t>
      </w:r>
      <w:r>
        <w:t>was</w:t>
      </w:r>
      <w:r w:rsidRPr="001724B0">
        <w:t xml:space="preserve"> used to define radionuclide concentrations in the Bayer process chain.</w:t>
      </w:r>
      <w:r>
        <w:t xml:space="preserve"> </w:t>
      </w:r>
      <w:r w:rsidRPr="00760821">
        <w:rPr>
          <w:vertAlign w:val="superscript"/>
        </w:rPr>
        <w:t>40</w:t>
      </w:r>
      <w:r>
        <w:t xml:space="preserve">K, </w:t>
      </w:r>
      <w:r w:rsidRPr="00760821">
        <w:rPr>
          <w:vertAlign w:val="superscript"/>
        </w:rPr>
        <w:t>238</w:t>
      </w:r>
      <w:r>
        <w:t xml:space="preserve">U, </w:t>
      </w:r>
      <w:r w:rsidRPr="004A76B3">
        <w:rPr>
          <w:vertAlign w:val="superscript"/>
        </w:rPr>
        <w:t>226</w:t>
      </w:r>
      <w:r>
        <w:t xml:space="preserve">Ra (decay product of </w:t>
      </w:r>
      <w:r w:rsidR="009A75B0" w:rsidRPr="00615F1A">
        <w:rPr>
          <w:vertAlign w:val="superscript"/>
        </w:rPr>
        <w:t>238</w:t>
      </w:r>
      <w:r w:rsidR="009A75B0">
        <w:t>U</w:t>
      </w:r>
      <w:r>
        <w:t xml:space="preserve">), </w:t>
      </w:r>
      <w:r>
        <w:rPr>
          <w:vertAlign w:val="superscript"/>
        </w:rPr>
        <w:t>228</w:t>
      </w:r>
      <w:r>
        <w:t xml:space="preserve">Ra and </w:t>
      </w:r>
      <w:r>
        <w:rPr>
          <w:vertAlign w:val="superscript"/>
        </w:rPr>
        <w:t>228</w:t>
      </w:r>
      <w:r w:rsidRPr="00044976">
        <w:t>Th</w:t>
      </w:r>
      <w:r>
        <w:t xml:space="preserve"> (decay products of </w:t>
      </w:r>
      <w:r>
        <w:rPr>
          <w:vertAlign w:val="superscript"/>
        </w:rPr>
        <w:t>232</w:t>
      </w:r>
      <w:r>
        <w:t xml:space="preserve">Th) were studied. We selected several long-lived radionuclides with different chemical properties from a single decay chain to track possible distortions in the decay equilibrium. The samples have been kept intact for at least 6 months after preparation in order for decay products to reach secular equilibrium with </w:t>
      </w:r>
      <w:r w:rsidR="001E58CF">
        <w:t xml:space="preserve">the </w:t>
      </w:r>
      <w:r>
        <w:t xml:space="preserve">mother nuclides (i.e. we use </w:t>
      </w:r>
      <w:r w:rsidRPr="00044976">
        <w:rPr>
          <w:vertAlign w:val="superscript"/>
        </w:rPr>
        <w:t>234</w:t>
      </w:r>
      <w:r w:rsidRPr="0015151B">
        <w:t>Th</w:t>
      </w:r>
      <w:r>
        <w:t xml:space="preserve"> to measure </w:t>
      </w:r>
      <w:r w:rsidRPr="00DE3EBC">
        <w:rPr>
          <w:vertAlign w:val="superscript"/>
        </w:rPr>
        <w:t>238</w:t>
      </w:r>
      <w:r>
        <w:t>U).</w:t>
      </w:r>
    </w:p>
    <w:p w14:paraId="0825A2AB" w14:textId="7C7793E2" w:rsidR="00B00650" w:rsidRDefault="00B00650" w:rsidP="004F3D48">
      <w:r>
        <w:t xml:space="preserve">We cannot measure </w:t>
      </w:r>
      <w:r w:rsidR="009A75B0">
        <w:t xml:space="preserve">the </w:t>
      </w:r>
      <w:r>
        <w:t xml:space="preserve">primordial isotope </w:t>
      </w:r>
      <w:r w:rsidRPr="00DE3EBC">
        <w:rPr>
          <w:vertAlign w:val="superscript"/>
        </w:rPr>
        <w:t>232</w:t>
      </w:r>
      <w:r>
        <w:t xml:space="preserve">Th directly by gamma-ray spectroscopy, </w:t>
      </w:r>
      <w:r w:rsidR="009A75B0">
        <w:t xml:space="preserve">but </w:t>
      </w:r>
      <w:r>
        <w:t xml:space="preserve">its decay product </w:t>
      </w:r>
      <w:r w:rsidRPr="00DE3EBC">
        <w:rPr>
          <w:vertAlign w:val="superscript"/>
        </w:rPr>
        <w:t>228</w:t>
      </w:r>
      <w:r>
        <w:t xml:space="preserve">Th provides a good proxy of the parent nuclide, as both are isotopes from the same chemical element. Measurement results were used to build </w:t>
      </w:r>
      <w:r w:rsidR="001E58CF">
        <w:t xml:space="preserve">a </w:t>
      </w:r>
      <w:r>
        <w:t>radionuclide mass-flow throughout the Bayer process, considering process data provided by the plant.</w:t>
      </w:r>
      <w:r w:rsidRPr="004F3D48">
        <w:t xml:space="preserve"> </w:t>
      </w:r>
      <w:r>
        <w:t xml:space="preserve">Mass flow data of </w:t>
      </w:r>
      <w:r w:rsidR="001E58CF">
        <w:t>a one-</w:t>
      </w:r>
      <w:r>
        <w:t>day period was used.</w:t>
      </w:r>
    </w:p>
    <w:p w14:paraId="26DE2522" w14:textId="12713B6B" w:rsidR="00B00650" w:rsidRDefault="001E58CF" w:rsidP="005C25DE">
      <w:r>
        <w:t>A h</w:t>
      </w:r>
      <w:r w:rsidR="00B00650">
        <w:t xml:space="preserve">igh purity germanium detector of broad energy type supplied by Canberra Industries® was used for measurements and </w:t>
      </w:r>
      <w:r>
        <w:t xml:space="preserve">an </w:t>
      </w:r>
      <w:r w:rsidR="00B00650">
        <w:t>efficiency transfer computer model EFFTRAN</w:t>
      </w:r>
      <w:r w:rsidR="00765C0C" w:rsidRPr="00765C0C">
        <w:rPr>
          <w:vertAlign w:val="superscript"/>
        </w:rPr>
        <w:t>2</w:t>
      </w:r>
      <w:r w:rsidR="00B00650">
        <w:t xml:space="preserve"> was applied to correct for differences in sample densities and matrices.</w:t>
      </w:r>
    </w:p>
    <w:p w14:paraId="334346DE" w14:textId="77777777" w:rsidR="00B00650" w:rsidRDefault="00B00650" w:rsidP="00076F26">
      <w:pPr>
        <w:pStyle w:val="Heading3"/>
      </w:pPr>
      <w:r>
        <w:t>Sampling</w:t>
      </w:r>
    </w:p>
    <w:p w14:paraId="3702915C" w14:textId="4CCB076C" w:rsidR="00B00650" w:rsidRDefault="00B00650" w:rsidP="005C25DE">
      <w:r>
        <w:t xml:space="preserve">Solid and liquid samples from process input, output and intermediate stages were collected during a 3-day period to represent a timely snapshot of all the materials interacting in the process. </w:t>
      </w:r>
    </w:p>
    <w:p w14:paraId="788F40AC" w14:textId="77777777" w:rsidR="00B00650" w:rsidRDefault="00B00650" w:rsidP="006D7528">
      <w:pPr>
        <w:pStyle w:val="Heading2"/>
      </w:pPr>
      <w:r>
        <w:t>Results</w:t>
      </w:r>
    </w:p>
    <w:p w14:paraId="2AB106EA" w14:textId="4FD4D36B" w:rsidR="00B00650" w:rsidRDefault="00B00650" w:rsidP="00E21BED">
      <w:r>
        <w:t xml:space="preserve">Complete radionuclide mass balance through </w:t>
      </w:r>
      <w:r w:rsidR="001E58CF">
        <w:t xml:space="preserve">the </w:t>
      </w:r>
      <w:r>
        <w:t xml:space="preserve">Bayer process is presented in Figures </w:t>
      </w:r>
      <w:r w:rsidR="00053E02">
        <w:t xml:space="preserve">1 – </w:t>
      </w:r>
      <w:r>
        <w:t xml:space="preserve">5. Results are presented in the units of [Bq/kg] </w:t>
      </w:r>
      <w:r w:rsidR="001E58CF">
        <w:t xml:space="preserve">normalised </w:t>
      </w:r>
      <w:r>
        <w:t xml:space="preserve">over </w:t>
      </w:r>
      <w:r w:rsidR="001E58CF">
        <w:t xml:space="preserve">the </w:t>
      </w:r>
      <w:r>
        <w:t>mass of output calcined alumina</w:t>
      </w:r>
      <w:r w:rsidR="001E58CF">
        <w:t>:</w:t>
      </w:r>
    </w:p>
    <w:p w14:paraId="6462FF5F" w14:textId="77777777" w:rsidR="00B00650" w:rsidRDefault="00B00650" w:rsidP="00E21BED"/>
    <w:p w14:paraId="44EBBA7A" w14:textId="7CBBD443" w:rsidR="00B00650" w:rsidRDefault="00B00650" w:rsidP="00E21BED">
      <w:pPr>
        <w:jc w:val="center"/>
      </w:pPr>
      <w:r w:rsidRPr="0040754B">
        <w:fldChar w:fldCharType="begin"/>
      </w:r>
      <w:r w:rsidRPr="00765C0C">
        <w:instrText xml:space="preserve"> QUOTE </w:instrText>
      </w:r>
      <w:r w:rsidR="00AC596B" w:rsidRPr="00765C0C">
        <w:rPr>
          <w:noProof/>
          <w:lang w:val="en-US" w:eastAsia="en-US"/>
        </w:rPr>
        <w:drawing>
          <wp:inline distT="0" distB="0" distL="0" distR="0" wp14:anchorId="3899AD6A" wp14:editId="3E5D50F4">
            <wp:extent cx="3480435" cy="35496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0435" cy="354965"/>
                    </a:xfrm>
                    <a:prstGeom prst="rect">
                      <a:avLst/>
                    </a:prstGeom>
                    <a:noFill/>
                    <a:ln>
                      <a:noFill/>
                    </a:ln>
                  </pic:spPr>
                </pic:pic>
              </a:graphicData>
            </a:graphic>
          </wp:inline>
        </w:drawing>
      </w:r>
      <w:r w:rsidRPr="00765C0C">
        <w:instrText xml:space="preserve"> </w:instrText>
      </w:r>
      <w:r w:rsidRPr="0040754B">
        <w:fldChar w:fldCharType="separate"/>
      </w:r>
      <w:r w:rsidRPr="0040754B">
        <w:fldChar w:fldCharType="end"/>
      </w:r>
      <w:r>
        <w:t xml:space="preserve">  </w:t>
      </w:r>
      <w:r>
        <w:tab/>
      </w:r>
      <m:oMath>
        <m:r>
          <w:rPr>
            <w:rFonts w:ascii="Cambria Math" w:hAnsi="Cambria Math"/>
            <w:sz w:val="28"/>
          </w:rPr>
          <m:t>Normalised activity</m:t>
        </m:r>
        <m:r>
          <w:rPr>
            <w:rFonts w:ascii="Cambria Math" w:hAnsi="Cambria Math"/>
            <w:sz w:val="28"/>
            <w:lang w:val="en-US"/>
          </w:rPr>
          <m:t>=</m:t>
        </m:r>
        <m:f>
          <m:fPr>
            <m:ctrlPr>
              <w:rPr>
                <w:rFonts w:ascii="Cambria Math" w:hAnsi="Cambria Math"/>
                <w:i/>
                <w:sz w:val="28"/>
                <w:lang w:val="en-US"/>
              </w:rPr>
            </m:ctrlPr>
          </m:fPr>
          <m:num>
            <m:r>
              <w:rPr>
                <w:rFonts w:ascii="Cambria Math" w:hAnsi="Cambria Math"/>
                <w:sz w:val="28"/>
                <w:lang w:val="en-US"/>
              </w:rPr>
              <m:t>Sample activity ×Daily mass flow</m:t>
            </m:r>
          </m:num>
          <m:den>
            <m:r>
              <w:rPr>
                <w:rFonts w:ascii="Cambria Math" w:hAnsi="Cambria Math"/>
                <w:sz w:val="28"/>
                <w:lang w:val="en-US"/>
              </w:rPr>
              <m:t>Total daily alumina flow</m:t>
            </m:r>
          </m:den>
        </m:f>
      </m:oMath>
      <w:r w:rsidR="00615F1A">
        <w:rPr>
          <w:sz w:val="28"/>
          <w:lang w:val="en-US"/>
        </w:rPr>
        <w:tab/>
      </w:r>
      <w:r w:rsidR="00615F1A">
        <w:rPr>
          <w:lang w:val="en-US"/>
        </w:rPr>
        <w:tab/>
      </w:r>
      <w:r>
        <w:t>(1)</w:t>
      </w:r>
    </w:p>
    <w:p w14:paraId="225DA16E" w14:textId="77777777" w:rsidR="00B00650" w:rsidRDefault="00B00650" w:rsidP="00E21BED">
      <w:pPr>
        <w:jc w:val="center"/>
      </w:pPr>
    </w:p>
    <w:p w14:paraId="7D06BAE5" w14:textId="77777777" w:rsidR="00B00650" w:rsidRDefault="00B00650" w:rsidP="00E21BED">
      <w:pPr>
        <w:pStyle w:val="Heading3"/>
      </w:pPr>
      <w:r>
        <w:t>Bayer process mass-flow</w:t>
      </w:r>
    </w:p>
    <w:p w14:paraId="063CDD67" w14:textId="46949F84" w:rsidR="00B00650" w:rsidRDefault="00B00650" w:rsidP="00E21BED">
      <w:r>
        <w:t>In figures 1</w:t>
      </w:r>
      <w:r w:rsidR="00053E02">
        <w:t xml:space="preserve"> – </w:t>
      </w:r>
      <w:r>
        <w:t>5</w:t>
      </w:r>
      <w:r w:rsidR="001E58CF">
        <w:t>,</w:t>
      </w:r>
      <w:r>
        <w:t xml:space="preserve"> </w:t>
      </w:r>
      <w:r w:rsidR="001E58CF">
        <w:t xml:space="preserve">the </w:t>
      </w:r>
      <w:r>
        <w:t>mass balances of every analysed isotope are summarised. In the blue boxes activity concentration of feed materials is presented, orange boxes correspond to measurements of process liquors, while red and green boxes stand for output materials. Solid material flow is denoted with black arrows while liquid with red. Dashed arrow stands for slurry. Finally, in the upper right corner radionuclide enrichment ratio in the BR is provided. Bauxite to BR ratio is calculated to be 2.4 based on the daily mass</w:t>
      </w:r>
      <w:r>
        <w:rPr>
          <w:lang w:val="en-US"/>
        </w:rPr>
        <w:t>-</w:t>
      </w:r>
      <w:r>
        <w:t>flow.</w:t>
      </w:r>
    </w:p>
    <w:p w14:paraId="680675C8" w14:textId="190B6619" w:rsidR="00B00650" w:rsidRDefault="00B00650" w:rsidP="00023584">
      <w:r w:rsidRPr="008C4628">
        <w:rPr>
          <w:vertAlign w:val="superscript"/>
        </w:rPr>
        <w:lastRenderedPageBreak/>
        <w:t>238</w:t>
      </w:r>
      <w:r>
        <w:t>U</w:t>
      </w:r>
      <w:r w:rsidR="009A75B0">
        <w:t>,</w:t>
      </w:r>
      <w:r>
        <w:t xml:space="preserve"> measured by its decay product </w:t>
      </w:r>
      <w:r w:rsidRPr="008C4628">
        <w:rPr>
          <w:vertAlign w:val="superscript"/>
        </w:rPr>
        <w:t>234</w:t>
      </w:r>
      <w:r w:rsidRPr="007D13B6">
        <w:t>Th</w:t>
      </w:r>
      <w:r w:rsidR="009A75B0">
        <w:t>,</w:t>
      </w:r>
      <w:r>
        <w:t xml:space="preserve"> is presented in </w:t>
      </w:r>
      <w:r w:rsidRPr="008C4628">
        <w:fldChar w:fldCharType="begin"/>
      </w:r>
      <w:r w:rsidRPr="008C4628">
        <w:instrText xml:space="preserve"> REF _Ref501465831 \h </w:instrText>
      </w:r>
      <w:r>
        <w:instrText xml:space="preserve"> \* MERGEFORMAT </w:instrText>
      </w:r>
      <w:r w:rsidRPr="008C4628">
        <w:fldChar w:fldCharType="separate"/>
      </w:r>
      <w:r w:rsidR="00042605" w:rsidRPr="00615F1A">
        <w:t>Figure 1</w:t>
      </w:r>
      <w:r w:rsidRPr="008C4628">
        <w:fldChar w:fldCharType="end"/>
      </w:r>
      <w:r>
        <w:t xml:space="preserve">. </w:t>
      </w:r>
      <w:r w:rsidR="009A75B0">
        <w:t xml:space="preserve">There </w:t>
      </w:r>
      <w:r>
        <w:t xml:space="preserve">is dissolution of uranium in the process liquors. However, most of </w:t>
      </w:r>
      <w:r w:rsidR="009A75B0">
        <w:t xml:space="preserve">the </w:t>
      </w:r>
      <w:r>
        <w:t>uranium still ends up in BR, while only minor portion, 3% of</w:t>
      </w:r>
      <w:r w:rsidR="00D75499">
        <w:t xml:space="preserve"> the</w:t>
      </w:r>
      <w:r>
        <w:t xml:space="preserve"> initial amount ends up in alumina. In the hydrated alumina 4 Bq/kg </w:t>
      </w:r>
      <w:r w:rsidRPr="008C4628">
        <w:rPr>
          <w:vertAlign w:val="superscript"/>
        </w:rPr>
        <w:t>238</w:t>
      </w:r>
      <w:r>
        <w:t xml:space="preserve">U (please note that this is measured sample activity, not </w:t>
      </w:r>
      <w:r w:rsidR="001E58CF">
        <w:t xml:space="preserve">normalised </w:t>
      </w:r>
      <w:r>
        <w:t>as presented in the</w:t>
      </w:r>
      <w:r w:rsidR="00D75499">
        <w:t xml:space="preserve"> </w:t>
      </w:r>
      <w:r w:rsidR="00D75499">
        <w:fldChar w:fldCharType="begin"/>
      </w:r>
      <w:r w:rsidR="00D75499">
        <w:instrText xml:space="preserve"> REF _Ref501465831 \h </w:instrText>
      </w:r>
      <w:r w:rsidR="00D75499">
        <w:fldChar w:fldCharType="separate"/>
      </w:r>
      <w:r w:rsidR="00042605" w:rsidRPr="008C4628">
        <w:rPr>
          <w:b/>
          <w:bCs/>
        </w:rPr>
        <w:t xml:space="preserve">Figure </w:t>
      </w:r>
      <w:r w:rsidR="00042605">
        <w:rPr>
          <w:b/>
          <w:bCs/>
          <w:noProof/>
        </w:rPr>
        <w:t>1</w:t>
      </w:r>
      <w:r w:rsidR="00D75499">
        <w:fldChar w:fldCharType="end"/>
      </w:r>
      <w:r>
        <w:t xml:space="preserve">) was measured, which is equivalent to 0.32 mg/kg uranium. It is in agreement with values published in </w:t>
      </w:r>
      <w:r w:rsidR="001E58CF">
        <w:t xml:space="preserve">the </w:t>
      </w:r>
      <w:r>
        <w:t xml:space="preserve">literature  </w:t>
      </w:r>
      <w:r w:rsidR="001E58CF">
        <w:t xml:space="preserve">for </w:t>
      </w:r>
      <w:r>
        <w:t xml:space="preserve">uranium in </w:t>
      </w:r>
      <w:r w:rsidR="00D75499">
        <w:t>aluminium hydroxide</w:t>
      </w:r>
      <w:r w:rsidR="001E58CF">
        <w:t xml:space="preserve"> (0.3 – 0.5 mg/kg)</w:t>
      </w:r>
      <w:r w:rsidR="001E58CF" w:rsidRPr="00765C0C">
        <w:rPr>
          <w:vertAlign w:val="superscript"/>
        </w:rPr>
        <w:t>3,</w:t>
      </w:r>
      <w:r w:rsidR="001E58CF">
        <w:rPr>
          <w:vertAlign w:val="superscript"/>
        </w:rPr>
        <w:t xml:space="preserve"> </w:t>
      </w:r>
      <w:r w:rsidR="001E58CF" w:rsidRPr="00765C0C">
        <w:rPr>
          <w:vertAlign w:val="superscript"/>
        </w:rPr>
        <w:t>4</w:t>
      </w:r>
      <w:r>
        <w:t xml:space="preserve"> After calcination</w:t>
      </w:r>
      <w:r>
        <w:rPr>
          <w:lang w:val="en-US"/>
        </w:rPr>
        <w:t>,</w:t>
      </w:r>
      <w:r>
        <w:t xml:space="preserve"> 5 Bq/kg of </w:t>
      </w:r>
      <w:r w:rsidRPr="00D60F37">
        <w:rPr>
          <w:vertAlign w:val="superscript"/>
        </w:rPr>
        <w:t>238</w:t>
      </w:r>
      <w:r>
        <w:t xml:space="preserve">U was measured in calcined alumina, which </w:t>
      </w:r>
      <w:r w:rsidR="001E58CF">
        <w:t xml:space="preserve">corresponded </w:t>
      </w:r>
      <w:r>
        <w:t>to ~0.4 mg/kg.</w:t>
      </w:r>
    </w:p>
    <w:p w14:paraId="2B72BEA0" w14:textId="77777777" w:rsidR="00555A81" w:rsidRPr="006C1C76" w:rsidRDefault="00555A81" w:rsidP="00023584"/>
    <w:p w14:paraId="15B0EE3F" w14:textId="716A8BB3" w:rsidR="00B00650" w:rsidRDefault="00555A81" w:rsidP="007F1A78">
      <w:pPr>
        <w:keepNext/>
        <w:spacing w:after="320"/>
        <w:jc w:val="center"/>
      </w:pPr>
      <w:r>
        <w:rPr>
          <w:noProof/>
          <w:lang w:val="en-US" w:eastAsia="en-US"/>
        </w:rPr>
        <w:drawing>
          <wp:inline distT="0" distB="0" distL="0" distR="0" wp14:anchorId="6E77A39E" wp14:editId="497ED2BA">
            <wp:extent cx="4907321" cy="270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321" cy="2700000"/>
                    </a:xfrm>
                    <a:prstGeom prst="rect">
                      <a:avLst/>
                    </a:prstGeom>
                    <a:noFill/>
                  </pic:spPr>
                </pic:pic>
              </a:graphicData>
            </a:graphic>
          </wp:inline>
        </w:drawing>
      </w:r>
    </w:p>
    <w:p w14:paraId="3FB099D7" w14:textId="7B6E1881" w:rsidR="00B00650" w:rsidRDefault="00B00650" w:rsidP="00076F26">
      <w:pPr>
        <w:spacing w:after="240"/>
        <w:jc w:val="center"/>
      </w:pPr>
      <w:bookmarkStart w:id="1" w:name="_Ref501465831"/>
      <w:r w:rsidRPr="008C4628">
        <w:rPr>
          <w:b/>
          <w:bCs/>
        </w:rPr>
        <w:t xml:space="preserve">Figure </w:t>
      </w:r>
      <w:r w:rsidRPr="008C4628">
        <w:rPr>
          <w:b/>
          <w:bCs/>
        </w:rPr>
        <w:fldChar w:fldCharType="begin"/>
      </w:r>
      <w:r w:rsidRPr="008C4628">
        <w:rPr>
          <w:b/>
          <w:bCs/>
        </w:rPr>
        <w:instrText xml:space="preserve"> SEQ Figure \* ARABIC </w:instrText>
      </w:r>
      <w:r w:rsidRPr="008C4628">
        <w:rPr>
          <w:b/>
          <w:bCs/>
        </w:rPr>
        <w:fldChar w:fldCharType="separate"/>
      </w:r>
      <w:r w:rsidR="00042605">
        <w:rPr>
          <w:b/>
          <w:bCs/>
          <w:noProof/>
        </w:rPr>
        <w:t>1</w:t>
      </w:r>
      <w:r w:rsidRPr="008C4628">
        <w:rPr>
          <w:b/>
          <w:bCs/>
        </w:rPr>
        <w:fldChar w:fldCharType="end"/>
      </w:r>
      <w:bookmarkEnd w:id="1"/>
      <w:r w:rsidRPr="008C4628">
        <w:rPr>
          <w:b/>
          <w:bCs/>
        </w:rPr>
        <w:t>:</w:t>
      </w:r>
      <w:r>
        <w:t xml:space="preserve"> </w:t>
      </w:r>
      <w:r w:rsidRPr="008C4628">
        <w:rPr>
          <w:vertAlign w:val="superscript"/>
        </w:rPr>
        <w:t>238</w:t>
      </w:r>
      <w:r>
        <w:t xml:space="preserve">U mass flow through </w:t>
      </w:r>
      <w:r w:rsidR="009A75B0">
        <w:t xml:space="preserve">the </w:t>
      </w:r>
      <w:r>
        <w:t>Bayer process.</w:t>
      </w:r>
    </w:p>
    <w:p w14:paraId="7E643B04" w14:textId="104B7F7D" w:rsidR="00555A81" w:rsidRPr="00F740A3" w:rsidRDefault="00555A81" w:rsidP="00555A81">
      <w:r w:rsidRPr="00044976">
        <w:rPr>
          <w:vertAlign w:val="superscript"/>
        </w:rPr>
        <w:t>226</w:t>
      </w:r>
      <w:r>
        <w:t xml:space="preserve">Ra (decay product of </w:t>
      </w:r>
      <w:r w:rsidRPr="007D13B6">
        <w:rPr>
          <w:vertAlign w:val="superscript"/>
        </w:rPr>
        <w:t>238</w:t>
      </w:r>
      <w:r>
        <w:t>U) is presented in Figure 2. Contrary to uranium, this radionuclide is not dissolved in the process liquors as well as it was not found in the hydrated or calcined alumina. All of this radionuclide ended up in the BR.</w:t>
      </w:r>
    </w:p>
    <w:p w14:paraId="5D897BEE" w14:textId="77777777" w:rsidR="00555A81" w:rsidRDefault="00555A81" w:rsidP="00076F26">
      <w:pPr>
        <w:spacing w:after="240"/>
        <w:jc w:val="center"/>
      </w:pPr>
    </w:p>
    <w:p w14:paraId="750A945C" w14:textId="0310F1EF" w:rsidR="00B00650" w:rsidRDefault="00555A81" w:rsidP="007F1A78">
      <w:pPr>
        <w:keepNext/>
        <w:spacing w:after="320"/>
        <w:jc w:val="center"/>
      </w:pPr>
      <w:r>
        <w:rPr>
          <w:noProof/>
          <w:lang w:val="en-US" w:eastAsia="en-US"/>
        </w:rPr>
        <w:lastRenderedPageBreak/>
        <w:drawing>
          <wp:inline distT="0" distB="0" distL="0" distR="0" wp14:anchorId="4F6F6E77" wp14:editId="0A1C335B">
            <wp:extent cx="4907321" cy="2700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321" cy="2700000"/>
                    </a:xfrm>
                    <a:prstGeom prst="rect">
                      <a:avLst/>
                    </a:prstGeom>
                    <a:noFill/>
                  </pic:spPr>
                </pic:pic>
              </a:graphicData>
            </a:graphic>
          </wp:inline>
        </w:drawing>
      </w:r>
    </w:p>
    <w:p w14:paraId="31EA83A9" w14:textId="3B66866C" w:rsidR="00B00650" w:rsidRDefault="00B00650" w:rsidP="00076F26">
      <w:pPr>
        <w:spacing w:after="240"/>
        <w:jc w:val="center"/>
      </w:pPr>
      <w:r w:rsidRPr="008C4628">
        <w:rPr>
          <w:b/>
          <w:bCs/>
        </w:rPr>
        <w:t xml:space="preserve">Figure </w:t>
      </w:r>
      <w:r w:rsidRPr="008C4628">
        <w:rPr>
          <w:b/>
          <w:bCs/>
        </w:rPr>
        <w:fldChar w:fldCharType="begin"/>
      </w:r>
      <w:r w:rsidRPr="008C4628">
        <w:rPr>
          <w:b/>
          <w:bCs/>
        </w:rPr>
        <w:instrText xml:space="preserve"> SEQ Figure \* ARABIC </w:instrText>
      </w:r>
      <w:r w:rsidRPr="008C4628">
        <w:rPr>
          <w:b/>
          <w:bCs/>
        </w:rPr>
        <w:fldChar w:fldCharType="separate"/>
      </w:r>
      <w:r w:rsidR="00042605">
        <w:rPr>
          <w:b/>
          <w:bCs/>
          <w:noProof/>
        </w:rPr>
        <w:t>2</w:t>
      </w:r>
      <w:r w:rsidRPr="008C4628">
        <w:rPr>
          <w:b/>
          <w:bCs/>
        </w:rPr>
        <w:fldChar w:fldCharType="end"/>
      </w:r>
      <w:r w:rsidRPr="008C4628">
        <w:rPr>
          <w:b/>
          <w:bCs/>
        </w:rPr>
        <w:t>:</w:t>
      </w:r>
      <w:r>
        <w:t xml:space="preserve"> </w:t>
      </w:r>
      <w:r w:rsidRPr="00D60F37">
        <w:rPr>
          <w:vertAlign w:val="superscript"/>
        </w:rPr>
        <w:t>22</w:t>
      </w:r>
      <w:r>
        <w:rPr>
          <w:vertAlign w:val="superscript"/>
        </w:rPr>
        <w:t>6</w:t>
      </w:r>
      <w:r>
        <w:t xml:space="preserve">Ra (product from </w:t>
      </w:r>
      <w:r w:rsidR="00D75499">
        <w:t xml:space="preserve">uranium </w:t>
      </w:r>
      <w:r>
        <w:t xml:space="preserve">decay series) mass flow through </w:t>
      </w:r>
      <w:r w:rsidR="009A75B0">
        <w:t xml:space="preserve">the </w:t>
      </w:r>
      <w:r>
        <w:t>Bayer process.</w:t>
      </w:r>
    </w:p>
    <w:p w14:paraId="315D9BC8" w14:textId="0AA47E04" w:rsidR="00B00650" w:rsidRDefault="00B00650" w:rsidP="006E3DC7">
      <w:r>
        <w:t xml:space="preserve">Figures 3 and 4 </w:t>
      </w:r>
      <w:r w:rsidR="002C6A0E">
        <w:t xml:space="preserve">show the </w:t>
      </w:r>
      <w:r w:rsidRPr="00076F26">
        <w:rPr>
          <w:vertAlign w:val="superscript"/>
        </w:rPr>
        <w:t>228</w:t>
      </w:r>
      <w:r>
        <w:t xml:space="preserve">Ra and </w:t>
      </w:r>
      <w:r w:rsidRPr="00076F26">
        <w:rPr>
          <w:vertAlign w:val="superscript"/>
        </w:rPr>
        <w:t>228</w:t>
      </w:r>
      <w:r w:rsidRPr="003748B7">
        <w:t>Th</w:t>
      </w:r>
      <w:r>
        <w:t xml:space="preserve">, decay products of </w:t>
      </w:r>
      <w:r w:rsidRPr="00076F26">
        <w:rPr>
          <w:vertAlign w:val="superscript"/>
        </w:rPr>
        <w:t>232</w:t>
      </w:r>
      <w:r>
        <w:t>Th. Thorium and its decay products are</w:t>
      </w:r>
      <w:r w:rsidRPr="00975F8E">
        <w:t xml:space="preserve"> </w:t>
      </w:r>
      <w:r>
        <w:t xml:space="preserve">roughly 3 times more abundant than uranium in bauxites used in the current process. </w:t>
      </w:r>
      <w:r w:rsidR="009A75B0">
        <w:t>The s</w:t>
      </w:r>
      <w:r>
        <w:t>tudied isotopes of thorium decay chain behave identically</w:t>
      </w:r>
      <w:r w:rsidR="00BB5DD5">
        <w:t xml:space="preserve"> — </w:t>
      </w:r>
      <w:r>
        <w:t xml:space="preserve">none of these isotopes were dissolved in the process liquors. Similarly, to </w:t>
      </w:r>
      <w:r w:rsidRPr="008917E1">
        <w:rPr>
          <w:vertAlign w:val="superscript"/>
        </w:rPr>
        <w:t>226</w:t>
      </w:r>
      <w:r>
        <w:t xml:space="preserve">Ra, these </w:t>
      </w:r>
      <w:r w:rsidR="002C6A0E">
        <w:t xml:space="preserve">radionuclides </w:t>
      </w:r>
      <w:r>
        <w:t>were not detected in alumina, and ended up in BR. It should be mentioned here, that three radionuclides (</w:t>
      </w:r>
      <w:r w:rsidRPr="00076F26">
        <w:rPr>
          <w:vertAlign w:val="superscript"/>
        </w:rPr>
        <w:t>228</w:t>
      </w:r>
      <w:r>
        <w:t xml:space="preserve">Ra, </w:t>
      </w:r>
      <w:r w:rsidRPr="00076F26">
        <w:rPr>
          <w:vertAlign w:val="superscript"/>
        </w:rPr>
        <w:t>228</w:t>
      </w:r>
      <w:r w:rsidRPr="00963921">
        <w:t>Th</w:t>
      </w:r>
      <w:r>
        <w:t xml:space="preserve"> and </w:t>
      </w:r>
      <w:r w:rsidRPr="008917E1">
        <w:rPr>
          <w:vertAlign w:val="superscript"/>
        </w:rPr>
        <w:t>226</w:t>
      </w:r>
      <w:r>
        <w:t xml:space="preserve">Ra) have considerably lower detection limits (several times lower), than </w:t>
      </w:r>
      <w:r w:rsidRPr="008917E1">
        <w:rPr>
          <w:vertAlign w:val="superscript"/>
        </w:rPr>
        <w:t>238</w:t>
      </w:r>
      <w:r>
        <w:t>U, which was observed in the liquors and in alumina.</w:t>
      </w:r>
    </w:p>
    <w:p w14:paraId="6F2E2889" w14:textId="083FCB3F" w:rsidR="00B00650" w:rsidRDefault="00555A81" w:rsidP="007F1A78">
      <w:pPr>
        <w:spacing w:after="320"/>
        <w:jc w:val="center"/>
      </w:pPr>
      <w:r>
        <w:rPr>
          <w:noProof/>
          <w:lang w:val="en-US" w:eastAsia="en-US"/>
        </w:rPr>
        <w:drawing>
          <wp:inline distT="0" distB="0" distL="0" distR="0" wp14:anchorId="4A9707E6" wp14:editId="16D0BCAA">
            <wp:extent cx="4907321" cy="2700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321" cy="2700000"/>
                    </a:xfrm>
                    <a:prstGeom prst="rect">
                      <a:avLst/>
                    </a:prstGeom>
                    <a:noFill/>
                  </pic:spPr>
                </pic:pic>
              </a:graphicData>
            </a:graphic>
          </wp:inline>
        </w:drawing>
      </w:r>
    </w:p>
    <w:p w14:paraId="58D60AA7" w14:textId="77777777" w:rsidR="00B00650" w:rsidRDefault="00B00650" w:rsidP="00D60F37">
      <w:pPr>
        <w:spacing w:after="240"/>
        <w:jc w:val="center"/>
      </w:pPr>
      <w:r w:rsidRPr="008C4628">
        <w:rPr>
          <w:b/>
          <w:bCs/>
        </w:rPr>
        <w:t xml:space="preserve">Figure </w:t>
      </w:r>
      <w:r w:rsidRPr="008C4628">
        <w:rPr>
          <w:b/>
          <w:bCs/>
        </w:rPr>
        <w:fldChar w:fldCharType="begin"/>
      </w:r>
      <w:r w:rsidRPr="008C4628">
        <w:rPr>
          <w:b/>
          <w:bCs/>
        </w:rPr>
        <w:instrText xml:space="preserve"> SEQ Figure \* ARABIC </w:instrText>
      </w:r>
      <w:r w:rsidRPr="008C4628">
        <w:rPr>
          <w:b/>
          <w:bCs/>
        </w:rPr>
        <w:fldChar w:fldCharType="separate"/>
      </w:r>
      <w:r w:rsidR="00042605">
        <w:rPr>
          <w:b/>
          <w:bCs/>
          <w:noProof/>
        </w:rPr>
        <w:t>3</w:t>
      </w:r>
      <w:r w:rsidRPr="008C4628">
        <w:rPr>
          <w:b/>
          <w:bCs/>
        </w:rPr>
        <w:fldChar w:fldCharType="end"/>
      </w:r>
      <w:r w:rsidRPr="008C4628">
        <w:rPr>
          <w:b/>
          <w:bCs/>
        </w:rPr>
        <w:t>:</w:t>
      </w:r>
      <w:r>
        <w:t xml:space="preserve"> </w:t>
      </w:r>
      <w:r w:rsidRPr="008C4628">
        <w:rPr>
          <w:vertAlign w:val="superscript"/>
        </w:rPr>
        <w:t>228</w:t>
      </w:r>
      <w:r>
        <w:t>Ra (product from thorium decay series) mass flow through Bayer process.</w:t>
      </w:r>
    </w:p>
    <w:p w14:paraId="26637E50" w14:textId="3246074F" w:rsidR="00B00650" w:rsidRDefault="00555A81" w:rsidP="007F1A78">
      <w:pPr>
        <w:keepNext/>
        <w:spacing w:after="320"/>
        <w:jc w:val="center"/>
      </w:pPr>
      <w:r>
        <w:rPr>
          <w:noProof/>
          <w:lang w:val="en-US" w:eastAsia="en-US"/>
        </w:rPr>
        <w:lastRenderedPageBreak/>
        <w:drawing>
          <wp:inline distT="0" distB="0" distL="0" distR="0" wp14:anchorId="6EDA0C0F" wp14:editId="3123349F">
            <wp:extent cx="4907321" cy="2700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321" cy="2700000"/>
                    </a:xfrm>
                    <a:prstGeom prst="rect">
                      <a:avLst/>
                    </a:prstGeom>
                    <a:noFill/>
                  </pic:spPr>
                </pic:pic>
              </a:graphicData>
            </a:graphic>
          </wp:inline>
        </w:drawing>
      </w:r>
    </w:p>
    <w:p w14:paraId="51F18E24" w14:textId="6B593CD8" w:rsidR="00B00650" w:rsidRDefault="00B00650" w:rsidP="00076F26">
      <w:pPr>
        <w:spacing w:after="240"/>
        <w:jc w:val="center"/>
      </w:pPr>
      <w:r w:rsidRPr="008C4628">
        <w:rPr>
          <w:b/>
          <w:bCs/>
        </w:rPr>
        <w:t xml:space="preserve">Figure </w:t>
      </w:r>
      <w:r w:rsidRPr="008C4628">
        <w:rPr>
          <w:b/>
          <w:bCs/>
        </w:rPr>
        <w:fldChar w:fldCharType="begin"/>
      </w:r>
      <w:r w:rsidRPr="008C4628">
        <w:rPr>
          <w:b/>
          <w:bCs/>
        </w:rPr>
        <w:instrText xml:space="preserve"> SEQ Figure \* ARABIC </w:instrText>
      </w:r>
      <w:r w:rsidRPr="008C4628">
        <w:rPr>
          <w:b/>
          <w:bCs/>
        </w:rPr>
        <w:fldChar w:fldCharType="separate"/>
      </w:r>
      <w:r w:rsidR="00042605">
        <w:rPr>
          <w:b/>
          <w:bCs/>
          <w:noProof/>
        </w:rPr>
        <w:t>4</w:t>
      </w:r>
      <w:r w:rsidRPr="008C4628">
        <w:rPr>
          <w:b/>
          <w:bCs/>
        </w:rPr>
        <w:fldChar w:fldCharType="end"/>
      </w:r>
      <w:r w:rsidRPr="008C4628">
        <w:rPr>
          <w:b/>
          <w:bCs/>
        </w:rPr>
        <w:t>:</w:t>
      </w:r>
      <w:r>
        <w:t xml:space="preserve"> </w:t>
      </w:r>
      <w:r w:rsidRPr="00076F26">
        <w:rPr>
          <w:vertAlign w:val="superscript"/>
        </w:rPr>
        <w:t>228</w:t>
      </w:r>
      <w:r>
        <w:t xml:space="preserve">Th (product from thorium decay series) mass flow through </w:t>
      </w:r>
      <w:r w:rsidR="002C6A0E">
        <w:t xml:space="preserve">the </w:t>
      </w:r>
      <w:r>
        <w:t>Bayer process.</w:t>
      </w:r>
    </w:p>
    <w:p w14:paraId="3AE6D511" w14:textId="5080D8CB" w:rsidR="00B00650" w:rsidRDefault="00B00650" w:rsidP="006C1C76">
      <w:r>
        <w:t xml:space="preserve">Finally, results for </w:t>
      </w:r>
      <w:r w:rsidRPr="00044976">
        <w:rPr>
          <w:vertAlign w:val="superscript"/>
        </w:rPr>
        <w:t>40</w:t>
      </w:r>
      <w:r>
        <w:t xml:space="preserve">K are presented in </w:t>
      </w:r>
      <w:r w:rsidRPr="008917E1">
        <w:fldChar w:fldCharType="begin"/>
      </w:r>
      <w:r w:rsidRPr="008917E1">
        <w:instrText xml:space="preserve"> REF _Ref501467418 \h  \* MERGEFORMAT </w:instrText>
      </w:r>
      <w:r w:rsidRPr="008917E1">
        <w:fldChar w:fldCharType="separate"/>
      </w:r>
      <w:r w:rsidR="00042605" w:rsidRPr="00615F1A">
        <w:t xml:space="preserve">Figure </w:t>
      </w:r>
      <w:r w:rsidR="00042605" w:rsidRPr="00615F1A">
        <w:rPr>
          <w:noProof/>
        </w:rPr>
        <w:t>5</w:t>
      </w:r>
      <w:r w:rsidRPr="008917E1">
        <w:fldChar w:fldCharType="end"/>
      </w:r>
      <w:r>
        <w:t xml:space="preserve">. Accumulation of </w:t>
      </w:r>
      <w:r w:rsidRPr="00044976">
        <w:rPr>
          <w:vertAlign w:val="superscript"/>
        </w:rPr>
        <w:t>40</w:t>
      </w:r>
      <w:r>
        <w:t xml:space="preserve">K was observed in the process liquors, while nothing was found in the alumina. It has been outlined earlier that potassium has the necessary chemical properties for accumulating </w:t>
      </w:r>
      <w:r w:rsidR="009A75B0">
        <w:t xml:space="preserve">in the </w:t>
      </w:r>
      <w:r>
        <w:t>Bayer liquor</w:t>
      </w:r>
      <w:r w:rsidR="00765C0C" w:rsidRPr="00765C0C">
        <w:rPr>
          <w:vertAlign w:val="superscript"/>
        </w:rPr>
        <w:t>5</w:t>
      </w:r>
      <w:r>
        <w:t xml:space="preserve">. This isotope enrichment ratio to BR is only 1.6, meaning </w:t>
      </w:r>
      <w:r w:rsidR="002C6A0E">
        <w:t xml:space="preserve">a </w:t>
      </w:r>
      <w:r>
        <w:t xml:space="preserve">portion of it is being lost. This might also be attributed to significant uncertainties in the measurements of </w:t>
      </w:r>
      <w:r w:rsidRPr="007F1A78">
        <w:rPr>
          <w:vertAlign w:val="superscript"/>
        </w:rPr>
        <w:t>40</w:t>
      </w:r>
      <w:r>
        <w:t xml:space="preserve">K. </w:t>
      </w:r>
    </w:p>
    <w:p w14:paraId="4488CCC9" w14:textId="317E0AC3" w:rsidR="00B00650" w:rsidRDefault="00B00650" w:rsidP="006C1C76">
      <w:r>
        <w:t xml:space="preserve">In </w:t>
      </w:r>
      <w:r w:rsidRPr="00982108">
        <w:fldChar w:fldCharType="begin"/>
      </w:r>
      <w:r w:rsidRPr="00982108">
        <w:instrText xml:space="preserve"> REF _Ref501465831 \h  \* MERGEFORMAT </w:instrText>
      </w:r>
      <w:r w:rsidRPr="00982108">
        <w:fldChar w:fldCharType="separate"/>
      </w:r>
      <w:r w:rsidR="00042605" w:rsidRPr="00615F1A">
        <w:t>Figure 1</w:t>
      </w:r>
      <w:r w:rsidRPr="00982108">
        <w:fldChar w:fldCharType="end"/>
      </w:r>
      <w:r w:rsidR="009A75B0">
        <w:t>, the</w:t>
      </w:r>
      <w:r>
        <w:t xml:space="preserve"> uranium concentration in liquor coming from </w:t>
      </w:r>
      <w:r w:rsidR="009A75B0">
        <w:t xml:space="preserve">the </w:t>
      </w:r>
      <w:r>
        <w:t xml:space="preserve">digester drops considerably after precipitation and evaporation stages, indicating that </w:t>
      </w:r>
      <w:r w:rsidR="002C6A0E">
        <w:t xml:space="preserve">a </w:t>
      </w:r>
      <w:r>
        <w:t xml:space="preserve">portion of this </w:t>
      </w:r>
      <w:r w:rsidR="002C6A0E">
        <w:t>radionuclide</w:t>
      </w:r>
      <w:r>
        <w:t xml:space="preserve"> might end up in </w:t>
      </w:r>
      <w:r w:rsidR="00042605">
        <w:t>aluminium hydroxide</w:t>
      </w:r>
      <w:r>
        <w:t xml:space="preserve">, which </w:t>
      </w:r>
      <w:r w:rsidR="009A75B0">
        <w:t xml:space="preserve">was </w:t>
      </w:r>
      <w:r>
        <w:t>later supported by measurements of hydrated and calcined alumina. For potassium</w:t>
      </w:r>
      <w:r w:rsidR="009A75B0">
        <w:t>,</w:t>
      </w:r>
      <w:r>
        <w:t xml:space="preserve"> this change is below 2% supporting our observation that </w:t>
      </w:r>
      <w:r w:rsidR="00042605">
        <w:t>the</w:t>
      </w:r>
      <w:r w:rsidR="009A75B0">
        <w:t xml:space="preserve"> </w:t>
      </w:r>
      <w:r>
        <w:t>isotope is retained in the process liquor and does not reach alumina.</w:t>
      </w:r>
    </w:p>
    <w:p w14:paraId="4F250C2B" w14:textId="77777777" w:rsidR="00B00650" w:rsidRDefault="00B00650" w:rsidP="00A8109C">
      <w:pPr>
        <w:jc w:val="center"/>
      </w:pPr>
    </w:p>
    <w:p w14:paraId="5B509C98" w14:textId="22116DF2" w:rsidR="00B00650" w:rsidRDefault="00555A81" w:rsidP="007F1A78">
      <w:pPr>
        <w:keepNext/>
        <w:spacing w:after="320"/>
        <w:jc w:val="center"/>
      </w:pPr>
      <w:r>
        <w:rPr>
          <w:noProof/>
          <w:lang w:val="en-US" w:eastAsia="en-US"/>
        </w:rPr>
        <w:lastRenderedPageBreak/>
        <w:drawing>
          <wp:inline distT="0" distB="0" distL="0" distR="0" wp14:anchorId="5B973100" wp14:editId="663F73B3">
            <wp:extent cx="4907321" cy="270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7321" cy="2700000"/>
                    </a:xfrm>
                    <a:prstGeom prst="rect">
                      <a:avLst/>
                    </a:prstGeom>
                    <a:noFill/>
                  </pic:spPr>
                </pic:pic>
              </a:graphicData>
            </a:graphic>
          </wp:inline>
        </w:drawing>
      </w:r>
    </w:p>
    <w:p w14:paraId="3E945E4B" w14:textId="4346B7F1" w:rsidR="00B00650" w:rsidRDefault="00B00650" w:rsidP="00076F26">
      <w:pPr>
        <w:spacing w:after="240"/>
        <w:jc w:val="center"/>
      </w:pPr>
      <w:bookmarkStart w:id="2" w:name="_Ref501467418"/>
      <w:r w:rsidRPr="008C4628">
        <w:rPr>
          <w:b/>
          <w:bCs/>
        </w:rPr>
        <w:t xml:space="preserve">Figure </w:t>
      </w:r>
      <w:r w:rsidRPr="008C4628">
        <w:rPr>
          <w:b/>
          <w:bCs/>
        </w:rPr>
        <w:fldChar w:fldCharType="begin"/>
      </w:r>
      <w:r w:rsidRPr="008C4628">
        <w:rPr>
          <w:b/>
          <w:bCs/>
        </w:rPr>
        <w:instrText xml:space="preserve"> SEQ Figure \* ARABIC </w:instrText>
      </w:r>
      <w:r w:rsidRPr="008C4628">
        <w:rPr>
          <w:b/>
          <w:bCs/>
        </w:rPr>
        <w:fldChar w:fldCharType="separate"/>
      </w:r>
      <w:r w:rsidR="00042605">
        <w:rPr>
          <w:b/>
          <w:bCs/>
          <w:noProof/>
        </w:rPr>
        <w:t>5</w:t>
      </w:r>
      <w:r w:rsidRPr="008C4628">
        <w:rPr>
          <w:b/>
          <w:bCs/>
        </w:rPr>
        <w:fldChar w:fldCharType="end"/>
      </w:r>
      <w:bookmarkEnd w:id="2"/>
      <w:r w:rsidRPr="008C4628">
        <w:rPr>
          <w:b/>
          <w:bCs/>
        </w:rPr>
        <w:t>:</w:t>
      </w:r>
      <w:r>
        <w:t xml:space="preserve"> </w:t>
      </w:r>
      <w:r w:rsidRPr="00A8109C">
        <w:rPr>
          <w:vertAlign w:val="superscript"/>
        </w:rPr>
        <w:t>40</w:t>
      </w:r>
      <w:r>
        <w:t>K</w:t>
      </w:r>
      <w:r w:rsidRPr="00433448">
        <w:t xml:space="preserve"> mass flow through </w:t>
      </w:r>
      <w:r w:rsidR="009A75B0">
        <w:t xml:space="preserve">the </w:t>
      </w:r>
      <w:r w:rsidRPr="00433448">
        <w:t>Bayer process.</w:t>
      </w:r>
    </w:p>
    <w:p w14:paraId="5CF22C60" w14:textId="77777777" w:rsidR="00B00650" w:rsidRPr="00E21BED" w:rsidRDefault="00B00650" w:rsidP="0053191E">
      <w:pPr>
        <w:pStyle w:val="Heading2"/>
      </w:pPr>
      <w:r>
        <w:t>Summary</w:t>
      </w:r>
    </w:p>
    <w:p w14:paraId="519D4381" w14:textId="6FC7838A" w:rsidR="00B00650" w:rsidRDefault="00B00650" w:rsidP="006D7528">
      <w:r>
        <w:t xml:space="preserve">Comparison between different bauxites show significantly higher radionuclide concentrations in specific karstic bauxites (from Greece and Turkey) compared to specific lateritic one (from Brazil), namely 2.4 times higher for uranium and 1.6 times for thorium. Potassium is present in trace amounts in the analysed bauxites (&lt;10 Bq/kg), except for one bauxite type originating from Turkey, where 103.2 Bq/kg of </w:t>
      </w:r>
      <w:r w:rsidRPr="00982108">
        <w:rPr>
          <w:vertAlign w:val="superscript"/>
        </w:rPr>
        <w:t>40</w:t>
      </w:r>
      <w:r>
        <w:t xml:space="preserve">K was observed. </w:t>
      </w:r>
    </w:p>
    <w:p w14:paraId="19338388" w14:textId="30A5FF9C" w:rsidR="00B00650" w:rsidRDefault="00B00650" w:rsidP="006D7528">
      <w:r>
        <w:t xml:space="preserve">Most of the radionuclides end up in the bauxite residue. A minor portion of </w:t>
      </w:r>
      <w:r w:rsidRPr="00982108">
        <w:rPr>
          <w:vertAlign w:val="superscript"/>
        </w:rPr>
        <w:t>238</w:t>
      </w:r>
      <w:r>
        <w:t xml:space="preserve">U is observed in alumina (3% of the amount present in bauxites, which is supported by previous research results), while its long-lived decay product </w:t>
      </w:r>
      <w:r w:rsidRPr="00982108">
        <w:rPr>
          <w:vertAlign w:val="superscript"/>
        </w:rPr>
        <w:t>226</w:t>
      </w:r>
      <w:r>
        <w:t>Ra has a different fate and accumulates entirely in BR.</w:t>
      </w:r>
    </w:p>
    <w:p w14:paraId="6849BFD0" w14:textId="2E252F20" w:rsidR="00B00650" w:rsidRDefault="00B00650" w:rsidP="00223031">
      <w:r>
        <w:t>According to the European Basic Safety Standard (BSS)</w:t>
      </w:r>
      <w:r w:rsidR="00765C0C" w:rsidRPr="00765C0C">
        <w:rPr>
          <w:vertAlign w:val="superscript"/>
        </w:rPr>
        <w:t>6</w:t>
      </w:r>
      <w:r>
        <w:t xml:space="preserve">, materials containing </w:t>
      </w:r>
      <w:r w:rsidRPr="00223031">
        <w:rPr>
          <w:vertAlign w:val="superscript"/>
        </w:rPr>
        <w:t>238</w:t>
      </w:r>
      <w:r>
        <w:t xml:space="preserve">U and </w:t>
      </w:r>
      <w:r w:rsidRPr="00223031">
        <w:rPr>
          <w:vertAlign w:val="superscript"/>
        </w:rPr>
        <w:t>232</w:t>
      </w:r>
      <w:r>
        <w:t xml:space="preserve">Th (and their decay products) below 1 </w:t>
      </w:r>
      <w:r w:rsidR="00615F1A">
        <w:t>k</w:t>
      </w:r>
      <w:r>
        <w:t>Bq/</w:t>
      </w:r>
      <w:r w:rsidR="00615F1A">
        <w:t>k</w:t>
      </w:r>
      <w:r>
        <w:t xml:space="preserve">g as well as </w:t>
      </w:r>
      <w:r w:rsidRPr="00223031">
        <w:rPr>
          <w:vertAlign w:val="superscript"/>
        </w:rPr>
        <w:t>40</w:t>
      </w:r>
      <w:r>
        <w:t xml:space="preserve">K below 10 </w:t>
      </w:r>
      <w:r w:rsidR="00615F1A">
        <w:t>k</w:t>
      </w:r>
      <w:r>
        <w:t>Bq/</w:t>
      </w:r>
      <w:r w:rsidR="00615F1A">
        <w:t>k</w:t>
      </w:r>
      <w:r>
        <w:t xml:space="preserve">g are exempt from any radiological characterization as they are unlikely to cause increased radiological exposure. Radionuclide concentrations in the studied process remains well below </w:t>
      </w:r>
      <w:r w:rsidR="009A75B0">
        <w:t xml:space="preserve">the </w:t>
      </w:r>
      <w:r>
        <w:t>legislative limits.</w:t>
      </w:r>
    </w:p>
    <w:p w14:paraId="70506C5F" w14:textId="0195C530" w:rsidR="00B00650" w:rsidRDefault="00B00650" w:rsidP="006D7528">
      <w:r>
        <w:t xml:space="preserve">High potassium values in the process liquors in the </w:t>
      </w:r>
      <w:r>
        <w:fldChar w:fldCharType="begin"/>
      </w:r>
      <w:r>
        <w:instrText xml:space="preserve"> REF _Ref501467418 \h  \* MERGEFORMAT </w:instrText>
      </w:r>
      <w:r>
        <w:fldChar w:fldCharType="separate"/>
      </w:r>
      <w:r w:rsidR="00042605" w:rsidRPr="00615F1A">
        <w:t>Figure</w:t>
      </w:r>
      <w:r w:rsidR="00042605" w:rsidRPr="008C4628">
        <w:rPr>
          <w:b/>
          <w:bCs/>
        </w:rPr>
        <w:t xml:space="preserve"> </w:t>
      </w:r>
      <w:r w:rsidR="00042605" w:rsidRPr="00615F1A">
        <w:rPr>
          <w:noProof/>
        </w:rPr>
        <w:t>5</w:t>
      </w:r>
      <w:r>
        <w:fldChar w:fldCharType="end"/>
      </w:r>
      <w:r>
        <w:t xml:space="preserve"> are explained by the fact that the radionuclide is presented per material mass-flow (see eq. 1), and not the activity concentration in samples. </w:t>
      </w:r>
      <w:r w:rsidR="009A75B0">
        <w:t>The a</w:t>
      </w:r>
      <w:r>
        <w:t>ctual potassium content in the measured samples remained at least an order of magnitude below the limit set in the BSS.</w:t>
      </w:r>
    </w:p>
    <w:p w14:paraId="585A623C" w14:textId="77777777" w:rsidR="00B00650" w:rsidRDefault="00B00650" w:rsidP="006D7528"/>
    <w:p w14:paraId="1E777D07" w14:textId="77777777" w:rsidR="00B00650" w:rsidRDefault="00B00650" w:rsidP="006D7528">
      <w:pPr>
        <w:pStyle w:val="Heading2"/>
      </w:pPr>
      <w:r>
        <w:t>Acknowledgements</w:t>
      </w:r>
    </w:p>
    <w:p w14:paraId="6904383A" w14:textId="77777777" w:rsidR="00B00650" w:rsidRDefault="00B00650" w:rsidP="006D7528">
      <w:r>
        <w:t>The research leading to these results has received funding from the European Community’s Horizon 2020 Programme ([H2020/2014–2019]) under Grant Agreement no. 636876 (MSCA-</w:t>
      </w:r>
      <w:r>
        <w:lastRenderedPageBreak/>
        <w:t xml:space="preserve">ETN REDMUD). This publication reflects only the authors’ view, exempting the Community from any liability. Project website: </w:t>
      </w:r>
      <w:hyperlink r:id="rId14" w:history="1">
        <w:r w:rsidRPr="006E41DB">
          <w:rPr>
            <w:rStyle w:val="Hyperlink"/>
          </w:rPr>
          <w:t>http://www.etn.redmud.org</w:t>
        </w:r>
      </w:hyperlink>
      <w:r>
        <w:t>.</w:t>
      </w:r>
    </w:p>
    <w:p w14:paraId="61EDFC3C" w14:textId="77777777" w:rsidR="00B00650" w:rsidRDefault="00B00650" w:rsidP="006D7528"/>
    <w:p w14:paraId="01F26A9C" w14:textId="77777777" w:rsidR="00B00650" w:rsidRDefault="00B00650" w:rsidP="005C25DE">
      <w:pPr>
        <w:pStyle w:val="Heading2"/>
      </w:pPr>
      <w:r>
        <w:t>References</w:t>
      </w:r>
    </w:p>
    <w:p w14:paraId="422EB592" w14:textId="77777777"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L. A. D. Chin, “The state-of-the-art in Bayer process technology,” </w:t>
      </w:r>
      <w:r w:rsidRPr="00765C0C">
        <w:rPr>
          <w:i/>
          <w:iCs/>
          <w:noProof/>
        </w:rPr>
        <w:t>Light Met. 1988</w:t>
      </w:r>
      <w:r w:rsidRPr="00963921">
        <w:rPr>
          <w:noProof/>
        </w:rPr>
        <w:t>, pp. 49–53, 1988.</w:t>
      </w:r>
    </w:p>
    <w:p w14:paraId="14F888D8" w14:textId="03691720"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T. Vidmar, “EFFTRAN—A Monte Carlo efficiency transfer code for gamma-ray spectrometry,” </w:t>
      </w:r>
      <w:r w:rsidRPr="00765C0C">
        <w:rPr>
          <w:i/>
          <w:iCs/>
          <w:noProof/>
        </w:rPr>
        <w:t>Nucl. Instruments Methods Phys. Res. Sect. A Accel. Spectrometers, Detect. Assoc. Equip.</w:t>
      </w:r>
      <w:r w:rsidRPr="00963921">
        <w:rPr>
          <w:noProof/>
        </w:rPr>
        <w:t xml:space="preserve">, </w:t>
      </w:r>
      <w:r w:rsidRPr="00765C0C">
        <w:rPr>
          <w:b/>
          <w:noProof/>
        </w:rPr>
        <w:t>vol. 550</w:t>
      </w:r>
      <w:r w:rsidRPr="00963921">
        <w:rPr>
          <w:noProof/>
        </w:rPr>
        <w:t>, no. 3, pp. 603–608, Sep. 2005.</w:t>
      </w:r>
    </w:p>
    <w:p w14:paraId="1DA6820A" w14:textId="56F614B7"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C. Sato, S. Kazama, A. Sakamoto, and K. Hirayanagi, “Behavior of Radioactive Elements (Uranium and Thorium) in Bayer Process,” in </w:t>
      </w:r>
      <w:r w:rsidRPr="00765C0C">
        <w:rPr>
          <w:i/>
          <w:iCs/>
          <w:noProof/>
        </w:rPr>
        <w:t xml:space="preserve">Essential Readings in Light Metals: Alumina and Bauxite, </w:t>
      </w:r>
      <w:r w:rsidRPr="00765C0C">
        <w:rPr>
          <w:b/>
          <w:i/>
          <w:iCs/>
          <w:noProof/>
        </w:rPr>
        <w:t>Volume 1</w:t>
      </w:r>
      <w:r w:rsidRPr="00963921">
        <w:rPr>
          <w:noProof/>
        </w:rPr>
        <w:t>, 2013, pp. 191–197.</w:t>
      </w:r>
    </w:p>
    <w:p w14:paraId="17D77C9F" w14:textId="73A4A18F"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J. a S. Adams and K. a Richardson, “Radioactivity of Aluminum Metal,” </w:t>
      </w:r>
      <w:r w:rsidRPr="00765C0C">
        <w:rPr>
          <w:i/>
          <w:iCs/>
          <w:noProof/>
        </w:rPr>
        <w:t>Econ. Geol.</w:t>
      </w:r>
      <w:r w:rsidRPr="00963921">
        <w:rPr>
          <w:noProof/>
        </w:rPr>
        <w:t xml:space="preserve">, </w:t>
      </w:r>
      <w:r w:rsidRPr="00765C0C">
        <w:rPr>
          <w:b/>
          <w:noProof/>
        </w:rPr>
        <w:t>vol. 55</w:t>
      </w:r>
      <w:r w:rsidRPr="00963921">
        <w:rPr>
          <w:noProof/>
        </w:rPr>
        <w:t>, pp. 1060–1063, 1960.</w:t>
      </w:r>
    </w:p>
    <w:p w14:paraId="40D4A213" w14:textId="0DD6D008"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M. Authier-Martin, G. Forte, S. Ostap, and J. See, “The mineralogy of bauxite for producing smelter-grade alumina,” </w:t>
      </w:r>
      <w:r w:rsidRPr="00765C0C">
        <w:rPr>
          <w:i/>
          <w:iCs/>
          <w:noProof/>
        </w:rPr>
        <w:t>JOM</w:t>
      </w:r>
      <w:r w:rsidRPr="00963921">
        <w:rPr>
          <w:noProof/>
        </w:rPr>
        <w:t xml:space="preserve">, </w:t>
      </w:r>
      <w:r w:rsidRPr="00765C0C">
        <w:rPr>
          <w:b/>
          <w:noProof/>
        </w:rPr>
        <w:t>vol. 53</w:t>
      </w:r>
      <w:r w:rsidRPr="00963921">
        <w:rPr>
          <w:noProof/>
        </w:rPr>
        <w:t>, no. 12, pp. 36–40, Dec. 2001.</w:t>
      </w:r>
    </w:p>
    <w:p w14:paraId="385A833A" w14:textId="04F777BC" w:rsidR="00765C0C" w:rsidRPr="00963921" w:rsidRDefault="00765C0C" w:rsidP="00765C0C">
      <w:pPr>
        <w:pStyle w:val="ListParagraph"/>
        <w:widowControl w:val="0"/>
        <w:numPr>
          <w:ilvl w:val="0"/>
          <w:numId w:val="12"/>
        </w:numPr>
        <w:autoSpaceDE w:val="0"/>
        <w:autoSpaceDN w:val="0"/>
        <w:adjustRightInd w:val="0"/>
        <w:spacing w:after="240" w:line="240" w:lineRule="atLeast"/>
        <w:rPr>
          <w:noProof/>
        </w:rPr>
      </w:pPr>
      <w:r w:rsidRPr="00963921">
        <w:rPr>
          <w:noProof/>
        </w:rPr>
        <w:t xml:space="preserve">European Parliament, “Council Directive 2013/59/Euratom of 5 December 2013 laying down basic safety standards for protection against the dangers arising from exposure to ionising radiation, and repealing Directives 89/618/Euratom, 90/641/Euratom, 96/29/Euratom, 97/43/Euratom a,” </w:t>
      </w:r>
      <w:r w:rsidRPr="00765C0C">
        <w:rPr>
          <w:i/>
          <w:iCs/>
          <w:noProof/>
        </w:rPr>
        <w:t>Off J Eur Commun L13</w:t>
      </w:r>
      <w:r w:rsidRPr="00963921">
        <w:rPr>
          <w:noProof/>
        </w:rPr>
        <w:t>, no. December 2003, pp. 1–73, 2014.</w:t>
      </w:r>
    </w:p>
    <w:p w14:paraId="73A5BEE8" w14:textId="24B91CF3" w:rsidR="00B00650" w:rsidRPr="00BA7D7D" w:rsidRDefault="00B00650" w:rsidP="006D7528"/>
    <w:sectPr w:rsidR="00B00650" w:rsidRPr="00BA7D7D" w:rsidSect="00042605">
      <w:footerReference w:type="default" r:id="rId15"/>
      <w:pgSz w:w="11907" w:h="16839" w:code="9"/>
      <w:pgMar w:top="1247" w:right="1446" w:bottom="2325" w:left="1446" w:header="709" w:footer="15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7A5AA" w16cid:durableId="1DF73C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4728" w14:textId="77777777" w:rsidR="00417ACC" w:rsidRDefault="00417ACC" w:rsidP="00CD7C40">
      <w:r>
        <w:separator/>
      </w:r>
    </w:p>
  </w:endnote>
  <w:endnote w:type="continuationSeparator" w:id="0">
    <w:p w14:paraId="7CCE5AF7" w14:textId="77777777" w:rsidR="00417ACC" w:rsidRDefault="00417ACC" w:rsidP="00CD7C40">
      <w:r>
        <w:continuationSeparator/>
      </w:r>
    </w:p>
  </w:endnote>
  <w:endnote w:type="continuationNotice" w:id="1">
    <w:p w14:paraId="62676479" w14:textId="77777777" w:rsidR="00417ACC" w:rsidRDefault="00417A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9876" w14:textId="77777777" w:rsidR="00B00650" w:rsidRPr="00DC0EA9" w:rsidRDefault="00B00650" w:rsidP="00CD7C40">
    <w:pPr>
      <w:tabs>
        <w:tab w:val="right" w:pos="8335"/>
      </w:tabs>
      <w:spacing w:line="240" w:lineRule="auto"/>
      <w:rPr>
        <w:sz w:val="20"/>
        <w:szCs w:val="20"/>
      </w:rPr>
    </w:pPr>
    <w:r>
      <w:rPr>
        <w:sz w:val="20"/>
        <w:szCs w:val="20"/>
      </w:rPr>
      <w:t>Bauxite Residue Valorisation and Best Practices  |  Athens  |  7-10/05/2018</w:t>
    </w:r>
    <w:r w:rsidRPr="00C66D4D">
      <w:rPr>
        <w:sz w:val="20"/>
        <w:szCs w:val="20"/>
      </w:rPr>
      <w:t xml:space="preserve"> </w:t>
    </w:r>
    <w:r w:rsidRPr="00C66D4D">
      <w:rPr>
        <w:sz w:val="20"/>
        <w:szCs w:val="20"/>
      </w:rPr>
      <w:tab/>
    </w:r>
    <w:r w:rsidRPr="00C66D4D">
      <w:rPr>
        <w:sz w:val="20"/>
        <w:szCs w:val="20"/>
      </w:rPr>
      <w:fldChar w:fldCharType="begin"/>
    </w:r>
    <w:r w:rsidRPr="00C66D4D">
      <w:rPr>
        <w:sz w:val="20"/>
        <w:szCs w:val="20"/>
      </w:rPr>
      <w:instrText xml:space="preserve"> PAGE   \* MERGEFORMAT </w:instrText>
    </w:r>
    <w:r w:rsidRPr="00C66D4D">
      <w:rPr>
        <w:sz w:val="20"/>
        <w:szCs w:val="20"/>
      </w:rPr>
      <w:fldChar w:fldCharType="separate"/>
    </w:r>
    <w:r w:rsidR="00615F1A">
      <w:rPr>
        <w:noProof/>
        <w:sz w:val="20"/>
        <w:szCs w:val="20"/>
      </w:rPr>
      <w:t>2</w:t>
    </w:r>
    <w:r w:rsidRPr="00C66D4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ABA3" w14:textId="77777777" w:rsidR="00417ACC" w:rsidRDefault="00417ACC" w:rsidP="00CD7C40">
      <w:r>
        <w:separator/>
      </w:r>
    </w:p>
  </w:footnote>
  <w:footnote w:type="continuationSeparator" w:id="0">
    <w:p w14:paraId="4DC40D73" w14:textId="77777777" w:rsidR="00417ACC" w:rsidRDefault="00417ACC" w:rsidP="00CD7C40">
      <w:r>
        <w:continuationSeparator/>
      </w:r>
    </w:p>
  </w:footnote>
  <w:footnote w:type="continuationNotice" w:id="1">
    <w:p w14:paraId="6CBFC92B" w14:textId="77777777" w:rsidR="00417ACC" w:rsidRDefault="00417AC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5BAD838"/>
    <w:lvl w:ilvl="0">
      <w:start w:val="1"/>
      <w:numFmt w:val="decimal"/>
      <w:lvlText w:val="%1."/>
      <w:lvlJc w:val="left"/>
      <w:pPr>
        <w:tabs>
          <w:tab w:val="num" w:pos="643"/>
        </w:tabs>
        <w:ind w:left="643" w:hanging="360"/>
      </w:pPr>
    </w:lvl>
  </w:abstractNum>
  <w:abstractNum w:abstractNumId="1" w15:restartNumberingAfterBreak="0">
    <w:nsid w:val="00A97177"/>
    <w:multiLevelType w:val="multilevel"/>
    <w:tmpl w:val="007CF5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43B0373"/>
    <w:multiLevelType w:val="hybridMultilevel"/>
    <w:tmpl w:val="FCC0E6D4"/>
    <w:lvl w:ilvl="0" w:tplc="04130001">
      <w:start w:val="1"/>
      <w:numFmt w:val="bullet"/>
      <w:lvlText w:val=""/>
      <w:lvlJc w:val="left"/>
      <w:pPr>
        <w:tabs>
          <w:tab w:val="num" w:pos="1287"/>
        </w:tabs>
        <w:ind w:left="1287" w:hanging="360"/>
      </w:pPr>
      <w:rPr>
        <w:rFonts w:ascii="Symbol" w:hAnsi="Symbol" w:cs="Symbol" w:hint="default"/>
      </w:rPr>
    </w:lvl>
    <w:lvl w:ilvl="1" w:tplc="04130003">
      <w:start w:val="1"/>
      <w:numFmt w:val="bullet"/>
      <w:lvlText w:val="o"/>
      <w:lvlJc w:val="left"/>
      <w:pPr>
        <w:tabs>
          <w:tab w:val="num" w:pos="2007"/>
        </w:tabs>
        <w:ind w:left="2007" w:hanging="360"/>
      </w:pPr>
      <w:rPr>
        <w:rFonts w:ascii="Courier New" w:hAnsi="Courier New" w:cs="Courier New" w:hint="default"/>
      </w:rPr>
    </w:lvl>
    <w:lvl w:ilvl="2" w:tplc="04130005">
      <w:start w:val="1"/>
      <w:numFmt w:val="bullet"/>
      <w:lvlText w:val=""/>
      <w:lvlJc w:val="left"/>
      <w:pPr>
        <w:tabs>
          <w:tab w:val="num" w:pos="2727"/>
        </w:tabs>
        <w:ind w:left="2727" w:hanging="360"/>
      </w:pPr>
      <w:rPr>
        <w:rFonts w:ascii="Wingdings" w:hAnsi="Wingdings" w:cs="Wingdings" w:hint="default"/>
      </w:rPr>
    </w:lvl>
    <w:lvl w:ilvl="3" w:tplc="04130001">
      <w:start w:val="1"/>
      <w:numFmt w:val="bullet"/>
      <w:lvlText w:val=""/>
      <w:lvlJc w:val="left"/>
      <w:pPr>
        <w:tabs>
          <w:tab w:val="num" w:pos="3447"/>
        </w:tabs>
        <w:ind w:left="3447" w:hanging="360"/>
      </w:pPr>
      <w:rPr>
        <w:rFonts w:ascii="Symbol" w:hAnsi="Symbol" w:cs="Symbol" w:hint="default"/>
      </w:rPr>
    </w:lvl>
    <w:lvl w:ilvl="4" w:tplc="04130003">
      <w:start w:val="1"/>
      <w:numFmt w:val="bullet"/>
      <w:lvlText w:val="o"/>
      <w:lvlJc w:val="left"/>
      <w:pPr>
        <w:tabs>
          <w:tab w:val="num" w:pos="4167"/>
        </w:tabs>
        <w:ind w:left="4167" w:hanging="360"/>
      </w:pPr>
      <w:rPr>
        <w:rFonts w:ascii="Courier New" w:hAnsi="Courier New" w:cs="Courier New" w:hint="default"/>
      </w:rPr>
    </w:lvl>
    <w:lvl w:ilvl="5" w:tplc="04130005">
      <w:start w:val="1"/>
      <w:numFmt w:val="bullet"/>
      <w:lvlText w:val=""/>
      <w:lvlJc w:val="left"/>
      <w:pPr>
        <w:tabs>
          <w:tab w:val="num" w:pos="4887"/>
        </w:tabs>
        <w:ind w:left="4887" w:hanging="360"/>
      </w:pPr>
      <w:rPr>
        <w:rFonts w:ascii="Wingdings" w:hAnsi="Wingdings" w:cs="Wingdings" w:hint="default"/>
      </w:rPr>
    </w:lvl>
    <w:lvl w:ilvl="6" w:tplc="04130001">
      <w:start w:val="1"/>
      <w:numFmt w:val="bullet"/>
      <w:lvlText w:val=""/>
      <w:lvlJc w:val="left"/>
      <w:pPr>
        <w:tabs>
          <w:tab w:val="num" w:pos="5607"/>
        </w:tabs>
        <w:ind w:left="5607" w:hanging="360"/>
      </w:pPr>
      <w:rPr>
        <w:rFonts w:ascii="Symbol" w:hAnsi="Symbol" w:cs="Symbol" w:hint="default"/>
      </w:rPr>
    </w:lvl>
    <w:lvl w:ilvl="7" w:tplc="04130003">
      <w:start w:val="1"/>
      <w:numFmt w:val="bullet"/>
      <w:lvlText w:val="o"/>
      <w:lvlJc w:val="left"/>
      <w:pPr>
        <w:tabs>
          <w:tab w:val="num" w:pos="6327"/>
        </w:tabs>
        <w:ind w:left="6327" w:hanging="360"/>
      </w:pPr>
      <w:rPr>
        <w:rFonts w:ascii="Courier New" w:hAnsi="Courier New" w:cs="Courier New" w:hint="default"/>
      </w:rPr>
    </w:lvl>
    <w:lvl w:ilvl="8" w:tplc="0413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B4D010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93CA0"/>
    <w:multiLevelType w:val="multilevel"/>
    <w:tmpl w:val="5290DD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AC1BDC"/>
    <w:multiLevelType w:val="multilevel"/>
    <w:tmpl w:val="6FAA42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4D80968"/>
    <w:multiLevelType w:val="hybridMultilevel"/>
    <w:tmpl w:val="F6A022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8358ED"/>
    <w:multiLevelType w:val="hybridMultilevel"/>
    <w:tmpl w:val="8DB4C89A"/>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F200C3"/>
    <w:multiLevelType w:val="hybridMultilevel"/>
    <w:tmpl w:val="A9C44EB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233AF4"/>
    <w:multiLevelType w:val="multilevel"/>
    <w:tmpl w:val="473644F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DE60405"/>
    <w:multiLevelType w:val="hybridMultilevel"/>
    <w:tmpl w:val="9AA2BE12"/>
    <w:lvl w:ilvl="0" w:tplc="54FE0646">
      <w:start w:val="1"/>
      <w:numFmt w:val="decimal"/>
      <w:pStyle w:val="References"/>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C9729A2"/>
    <w:multiLevelType w:val="hybridMultilevel"/>
    <w:tmpl w:val="C7164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9"/>
  </w:num>
  <w:num w:numId="5">
    <w:abstractNumId w:val="5"/>
  </w:num>
  <w:num w:numId="6">
    <w:abstractNumId w:val="0"/>
  </w:num>
  <w:num w:numId="7">
    <w:abstractNumId w:val="1"/>
  </w:num>
  <w:num w:numId="8">
    <w:abstractNumId w:val="4"/>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D"/>
    <w:rsid w:val="00023584"/>
    <w:rsid w:val="00042605"/>
    <w:rsid w:val="00044976"/>
    <w:rsid w:val="00051169"/>
    <w:rsid w:val="00052B2C"/>
    <w:rsid w:val="00053E02"/>
    <w:rsid w:val="00070487"/>
    <w:rsid w:val="00076F26"/>
    <w:rsid w:val="000E3647"/>
    <w:rsid w:val="00104EFE"/>
    <w:rsid w:val="00105C20"/>
    <w:rsid w:val="00135CC5"/>
    <w:rsid w:val="0015151B"/>
    <w:rsid w:val="001724B0"/>
    <w:rsid w:val="001C3146"/>
    <w:rsid w:val="001E58CF"/>
    <w:rsid w:val="00223031"/>
    <w:rsid w:val="00264EC9"/>
    <w:rsid w:val="00273117"/>
    <w:rsid w:val="00281AA3"/>
    <w:rsid w:val="00295053"/>
    <w:rsid w:val="002A12AF"/>
    <w:rsid w:val="002C6A0E"/>
    <w:rsid w:val="0031631A"/>
    <w:rsid w:val="0037474D"/>
    <w:rsid w:val="003748B7"/>
    <w:rsid w:val="0040754B"/>
    <w:rsid w:val="00417ACC"/>
    <w:rsid w:val="00433448"/>
    <w:rsid w:val="00444EBA"/>
    <w:rsid w:val="00445ECE"/>
    <w:rsid w:val="00460148"/>
    <w:rsid w:val="00466661"/>
    <w:rsid w:val="004726FE"/>
    <w:rsid w:val="00474C31"/>
    <w:rsid w:val="00492B87"/>
    <w:rsid w:val="004A76B3"/>
    <w:rsid w:val="004D125F"/>
    <w:rsid w:val="004E11AF"/>
    <w:rsid w:val="004F3D48"/>
    <w:rsid w:val="0053191E"/>
    <w:rsid w:val="00545AE2"/>
    <w:rsid w:val="00555A81"/>
    <w:rsid w:val="00573B01"/>
    <w:rsid w:val="00576835"/>
    <w:rsid w:val="005A64E4"/>
    <w:rsid w:val="005C25DE"/>
    <w:rsid w:val="005C35EF"/>
    <w:rsid w:val="005F786B"/>
    <w:rsid w:val="00615F1A"/>
    <w:rsid w:val="0063009C"/>
    <w:rsid w:val="00633E16"/>
    <w:rsid w:val="006C1C76"/>
    <w:rsid w:val="006D7528"/>
    <w:rsid w:val="006E3DC7"/>
    <w:rsid w:val="006E41DB"/>
    <w:rsid w:val="00735D90"/>
    <w:rsid w:val="00743258"/>
    <w:rsid w:val="00757BB3"/>
    <w:rsid w:val="00760821"/>
    <w:rsid w:val="00764768"/>
    <w:rsid w:val="00765C0C"/>
    <w:rsid w:val="007917D8"/>
    <w:rsid w:val="007C3E0C"/>
    <w:rsid w:val="007D13B6"/>
    <w:rsid w:val="007F1A78"/>
    <w:rsid w:val="007F23EF"/>
    <w:rsid w:val="00857C7E"/>
    <w:rsid w:val="008917E1"/>
    <w:rsid w:val="00894B7A"/>
    <w:rsid w:val="008972D0"/>
    <w:rsid w:val="008B325A"/>
    <w:rsid w:val="008C4628"/>
    <w:rsid w:val="008D21D1"/>
    <w:rsid w:val="00906F63"/>
    <w:rsid w:val="00963921"/>
    <w:rsid w:val="00975F8E"/>
    <w:rsid w:val="00982108"/>
    <w:rsid w:val="00987F42"/>
    <w:rsid w:val="009A75B0"/>
    <w:rsid w:val="009F216F"/>
    <w:rsid w:val="00A00EDC"/>
    <w:rsid w:val="00A31AF8"/>
    <w:rsid w:val="00A4529D"/>
    <w:rsid w:val="00A54CDF"/>
    <w:rsid w:val="00A6028F"/>
    <w:rsid w:val="00A7097D"/>
    <w:rsid w:val="00A8109C"/>
    <w:rsid w:val="00AC36B7"/>
    <w:rsid w:val="00AC41AE"/>
    <w:rsid w:val="00AC596B"/>
    <w:rsid w:val="00AD1FA1"/>
    <w:rsid w:val="00AD288B"/>
    <w:rsid w:val="00AD3708"/>
    <w:rsid w:val="00AE0C47"/>
    <w:rsid w:val="00B00650"/>
    <w:rsid w:val="00B14895"/>
    <w:rsid w:val="00B65230"/>
    <w:rsid w:val="00BA7D7D"/>
    <w:rsid w:val="00BB5DD5"/>
    <w:rsid w:val="00BD1244"/>
    <w:rsid w:val="00C53D6E"/>
    <w:rsid w:val="00C66D4D"/>
    <w:rsid w:val="00C767BE"/>
    <w:rsid w:val="00CA4737"/>
    <w:rsid w:val="00CB6573"/>
    <w:rsid w:val="00CB716C"/>
    <w:rsid w:val="00CD7C40"/>
    <w:rsid w:val="00D60F37"/>
    <w:rsid w:val="00D651EB"/>
    <w:rsid w:val="00D75499"/>
    <w:rsid w:val="00DC0EA9"/>
    <w:rsid w:val="00DE3EBC"/>
    <w:rsid w:val="00DF7DB7"/>
    <w:rsid w:val="00E01091"/>
    <w:rsid w:val="00E21BED"/>
    <w:rsid w:val="00E62A0F"/>
    <w:rsid w:val="00E81587"/>
    <w:rsid w:val="00EC67EB"/>
    <w:rsid w:val="00F33BD2"/>
    <w:rsid w:val="00F4263D"/>
    <w:rsid w:val="00F56AD0"/>
    <w:rsid w:val="00F740A3"/>
    <w:rsid w:val="00FA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02A7A"/>
  <w14:defaultImageDpi w14:val="0"/>
  <w15:docId w15:val="{D7064615-7737-43C8-98F6-51A4D965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jc w:val="both"/>
    </w:pPr>
    <w:rPr>
      <w:rFonts w:ascii="Calibri" w:hAnsi="Calibri" w:cs="Calibri"/>
      <w:sz w:val="24"/>
      <w:szCs w:val="24"/>
      <w:lang w:eastAsia="nl-NL"/>
    </w:rPr>
  </w:style>
  <w:style w:type="paragraph" w:styleId="Heading1">
    <w:name w:val="heading 1"/>
    <w:basedOn w:val="Normal"/>
    <w:next w:val="Normal"/>
    <w:link w:val="Heading1Char"/>
    <w:uiPriority w:val="99"/>
    <w:qFormat/>
    <w:pPr>
      <w:keepNext/>
      <w:spacing w:after="60" w:line="360" w:lineRule="atLeast"/>
      <w:outlineLvl w:val="0"/>
    </w:pPr>
    <w:rPr>
      <w:b/>
      <w:bCs/>
      <w:kern w:val="32"/>
      <w:sz w:val="36"/>
      <w:szCs w:val="36"/>
    </w:rPr>
  </w:style>
  <w:style w:type="paragraph" w:styleId="Heading2">
    <w:name w:val="heading 2"/>
    <w:basedOn w:val="Normal"/>
    <w:next w:val="Normal"/>
    <w:link w:val="Heading2Char"/>
    <w:uiPriority w:val="99"/>
    <w:qFormat/>
    <w:pPr>
      <w:keepNext/>
      <w:spacing w:before="240" w:after="120"/>
      <w:outlineLvl w:val="1"/>
    </w:pPr>
    <w:rPr>
      <w:b/>
      <w:bCs/>
      <w:sz w:val="32"/>
      <w:szCs w:val="32"/>
    </w:rPr>
  </w:style>
  <w:style w:type="paragraph" w:styleId="Heading3">
    <w:name w:val="heading 3"/>
    <w:basedOn w:val="Normal"/>
    <w:next w:val="Normal"/>
    <w:link w:val="Heading3Char"/>
    <w:uiPriority w:val="99"/>
    <w:qFormat/>
    <w:pPr>
      <w:keepNext/>
      <w:spacing w:before="280" w:after="80"/>
      <w:outlineLvl w:val="2"/>
    </w:pPr>
    <w:rPr>
      <w:b/>
      <w:bCs/>
      <w:sz w:val="26"/>
      <w:szCs w:val="26"/>
    </w:rPr>
  </w:style>
  <w:style w:type="paragraph" w:styleId="Heading4">
    <w:name w:val="heading 4"/>
    <w:basedOn w:val="Normal"/>
    <w:next w:val="Normal"/>
    <w:link w:val="Heading4Char"/>
    <w:uiPriority w:val="99"/>
    <w:qFormat/>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7"/>
      </w:numPr>
      <w:spacing w:before="240" w:after="60"/>
      <w:outlineLvl w:val="6"/>
    </w:pPr>
  </w:style>
  <w:style w:type="paragraph" w:styleId="Heading8">
    <w:name w:val="heading 8"/>
    <w:basedOn w:val="Normal"/>
    <w:next w:val="Normal"/>
    <w:link w:val="Heading8Char"/>
    <w:uiPriority w:val="99"/>
    <w:qFormat/>
    <w:pPr>
      <w:numPr>
        <w:ilvl w:val="7"/>
        <w:numId w:val="7"/>
      </w:numPr>
      <w:spacing w:before="240" w:after="60"/>
      <w:outlineLvl w:val="7"/>
    </w:pPr>
    <w:rPr>
      <w:i/>
      <w:iCs/>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01A"/>
    <w:rPr>
      <w:rFonts w:ascii="Cambria" w:eastAsia="Times New Roman" w:hAnsi="Cambria" w:cs="Times New Roman"/>
      <w:b/>
      <w:bCs/>
      <w:kern w:val="32"/>
      <w:sz w:val="32"/>
      <w:szCs w:val="32"/>
      <w:lang w:val="en-GB" w:eastAsia="nl-NL"/>
    </w:rPr>
  </w:style>
  <w:style w:type="character" w:customStyle="1" w:styleId="Heading2Char">
    <w:name w:val="Heading 2 Char"/>
    <w:link w:val="Heading2"/>
    <w:uiPriority w:val="9"/>
    <w:semiHidden/>
    <w:rsid w:val="00F7001A"/>
    <w:rPr>
      <w:rFonts w:ascii="Cambria" w:eastAsia="Times New Roman" w:hAnsi="Cambria" w:cs="Times New Roman"/>
      <w:b/>
      <w:bCs/>
      <w:i/>
      <w:iCs/>
      <w:sz w:val="28"/>
      <w:szCs w:val="28"/>
      <w:lang w:val="en-GB" w:eastAsia="nl-NL"/>
    </w:rPr>
  </w:style>
  <w:style w:type="character" w:customStyle="1" w:styleId="Heading3Char">
    <w:name w:val="Heading 3 Char"/>
    <w:link w:val="Heading3"/>
    <w:uiPriority w:val="9"/>
    <w:semiHidden/>
    <w:rsid w:val="00F7001A"/>
    <w:rPr>
      <w:rFonts w:ascii="Cambria" w:eastAsia="Times New Roman" w:hAnsi="Cambria" w:cs="Times New Roman"/>
      <w:b/>
      <w:bCs/>
      <w:sz w:val="26"/>
      <w:szCs w:val="26"/>
      <w:lang w:val="en-GB" w:eastAsia="nl-NL"/>
    </w:rPr>
  </w:style>
  <w:style w:type="character" w:customStyle="1" w:styleId="Heading4Char">
    <w:name w:val="Heading 4 Char"/>
    <w:link w:val="Heading4"/>
    <w:uiPriority w:val="9"/>
    <w:semiHidden/>
    <w:rsid w:val="00F7001A"/>
    <w:rPr>
      <w:rFonts w:ascii="Calibri" w:eastAsia="Times New Roman" w:hAnsi="Calibri" w:cs="Times New Roman"/>
      <w:b/>
      <w:bCs/>
      <w:sz w:val="28"/>
      <w:szCs w:val="28"/>
      <w:lang w:val="en-GB" w:eastAsia="nl-NL"/>
    </w:rPr>
  </w:style>
  <w:style w:type="character" w:customStyle="1" w:styleId="Heading5Char">
    <w:name w:val="Heading 5 Char"/>
    <w:link w:val="Heading5"/>
    <w:uiPriority w:val="9"/>
    <w:semiHidden/>
    <w:rsid w:val="00F7001A"/>
    <w:rPr>
      <w:rFonts w:ascii="Calibri" w:eastAsia="Times New Roman" w:hAnsi="Calibri" w:cs="Times New Roman"/>
      <w:b/>
      <w:bCs/>
      <w:i/>
      <w:iCs/>
      <w:sz w:val="26"/>
      <w:szCs w:val="26"/>
      <w:lang w:val="en-GB" w:eastAsia="nl-NL"/>
    </w:rPr>
  </w:style>
  <w:style w:type="character" w:customStyle="1" w:styleId="Heading6Char">
    <w:name w:val="Heading 6 Char"/>
    <w:link w:val="Heading6"/>
    <w:uiPriority w:val="9"/>
    <w:semiHidden/>
    <w:rsid w:val="00F7001A"/>
    <w:rPr>
      <w:rFonts w:ascii="Calibri" w:eastAsia="Times New Roman" w:hAnsi="Calibri" w:cs="Times New Roman"/>
      <w:b/>
      <w:bCs/>
      <w:lang w:val="en-GB" w:eastAsia="nl-NL"/>
    </w:rPr>
  </w:style>
  <w:style w:type="character" w:customStyle="1" w:styleId="Heading7Char">
    <w:name w:val="Heading 7 Char"/>
    <w:link w:val="Heading7"/>
    <w:uiPriority w:val="9"/>
    <w:semiHidden/>
    <w:rsid w:val="00F7001A"/>
    <w:rPr>
      <w:rFonts w:ascii="Calibri" w:eastAsia="Times New Roman" w:hAnsi="Calibri" w:cs="Times New Roman"/>
      <w:sz w:val="24"/>
      <w:szCs w:val="24"/>
      <w:lang w:val="en-GB" w:eastAsia="nl-NL"/>
    </w:rPr>
  </w:style>
  <w:style w:type="character" w:customStyle="1" w:styleId="Heading8Char">
    <w:name w:val="Heading 8 Char"/>
    <w:link w:val="Heading8"/>
    <w:uiPriority w:val="9"/>
    <w:semiHidden/>
    <w:rsid w:val="00F7001A"/>
    <w:rPr>
      <w:rFonts w:ascii="Calibri" w:eastAsia="Times New Roman" w:hAnsi="Calibri" w:cs="Times New Roman"/>
      <w:i/>
      <w:iCs/>
      <w:sz w:val="24"/>
      <w:szCs w:val="24"/>
      <w:lang w:val="en-GB" w:eastAsia="nl-NL"/>
    </w:rPr>
  </w:style>
  <w:style w:type="character" w:customStyle="1" w:styleId="Heading9Char">
    <w:name w:val="Heading 9 Char"/>
    <w:link w:val="Heading9"/>
    <w:uiPriority w:val="9"/>
    <w:semiHidden/>
    <w:rsid w:val="00F7001A"/>
    <w:rPr>
      <w:rFonts w:ascii="Cambria" w:eastAsia="Times New Roman" w:hAnsi="Cambria" w:cs="Times New Roman"/>
      <w:lang w:val="en-GB" w:eastAsia="nl-NL"/>
    </w:rPr>
  </w:style>
  <w:style w:type="paragraph" w:customStyle="1" w:styleId="Authors">
    <w:name w:val="Authors"/>
    <w:basedOn w:val="Normal"/>
    <w:link w:val="AuthorsChar"/>
    <w:uiPriority w:val="99"/>
    <w:pPr>
      <w:spacing w:before="240" w:after="120" w:line="280" w:lineRule="atLeast"/>
    </w:pPr>
    <w:rPr>
      <w:b/>
      <w:bCs/>
      <w:sz w:val="28"/>
      <w:szCs w:val="28"/>
    </w:rPr>
  </w:style>
  <w:style w:type="paragraph" w:customStyle="1" w:styleId="Affiliation">
    <w:name w:val="Affiliation"/>
    <w:basedOn w:val="Normal"/>
    <w:link w:val="AffiliationChar"/>
    <w:uiPriority w:val="99"/>
    <w:pPr>
      <w:spacing w:line="280" w:lineRule="atLeast"/>
    </w:pPr>
    <w:rPr>
      <w:sz w:val="22"/>
      <w:szCs w:val="22"/>
    </w:rPr>
  </w:style>
  <w:style w:type="character" w:customStyle="1" w:styleId="AuthorsChar">
    <w:name w:val="Authors Char"/>
    <w:link w:val="Authors"/>
    <w:uiPriority w:val="99"/>
    <w:locked/>
    <w:rPr>
      <w:rFonts w:ascii="Calibri" w:hAnsi="Calibri" w:cs="Calibri"/>
      <w:b/>
      <w:bCs/>
      <w:sz w:val="24"/>
      <w:szCs w:val="24"/>
      <w:lang w:val="en-GB" w:eastAsia="nl-NL"/>
    </w:rPr>
  </w:style>
  <w:style w:type="paragraph" w:customStyle="1" w:styleId="Abstract">
    <w:name w:val="Abstract"/>
    <w:basedOn w:val="Normal"/>
    <w:link w:val="AbstractChar"/>
    <w:uiPriority w:val="99"/>
    <w:rPr>
      <w:i/>
      <w:iCs/>
    </w:rPr>
  </w:style>
  <w:style w:type="character" w:customStyle="1" w:styleId="AffiliationChar">
    <w:name w:val="Affiliation Char"/>
    <w:link w:val="Affiliation"/>
    <w:uiPriority w:val="99"/>
    <w:locked/>
    <w:rPr>
      <w:rFonts w:ascii="Calibri" w:hAnsi="Calibri" w:cs="Calibri"/>
      <w:sz w:val="22"/>
      <w:szCs w:val="22"/>
      <w:lang w:val="en-GB" w:eastAsia="nl-NL"/>
    </w:rPr>
  </w:style>
  <w:style w:type="paragraph" w:customStyle="1" w:styleId="Email">
    <w:name w:val="Email"/>
    <w:basedOn w:val="Normal"/>
    <w:link w:val="EmailChar"/>
    <w:uiPriority w:val="99"/>
    <w:pPr>
      <w:spacing w:before="120" w:after="360"/>
    </w:pPr>
    <w:rPr>
      <w:i/>
      <w:iCs/>
    </w:rPr>
  </w:style>
  <w:style w:type="paragraph" w:customStyle="1" w:styleId="References">
    <w:name w:val="References"/>
    <w:basedOn w:val="Normal"/>
    <w:link w:val="ReferencesChar"/>
    <w:uiPriority w:val="99"/>
    <w:pPr>
      <w:numPr>
        <w:numId w:val="9"/>
      </w:numPr>
      <w:spacing w:line="260" w:lineRule="atLeast"/>
      <w:ind w:left="425" w:hanging="425"/>
    </w:pPr>
    <w:rPr>
      <w:sz w:val="20"/>
      <w:szCs w:val="20"/>
    </w:rPr>
  </w:style>
  <w:style w:type="character" w:customStyle="1" w:styleId="AbstractChar">
    <w:name w:val="Abstract Char"/>
    <w:link w:val="Abstract"/>
    <w:uiPriority w:val="99"/>
    <w:locked/>
    <w:rPr>
      <w:rFonts w:ascii="Calibri" w:hAnsi="Calibri" w:cs="Calibri"/>
      <w:i/>
      <w:iCs/>
      <w:sz w:val="24"/>
      <w:szCs w:val="24"/>
      <w:lang w:val="en-GB" w:eastAsia="nl-NL"/>
    </w:rPr>
  </w:style>
  <w:style w:type="character" w:customStyle="1" w:styleId="EmailChar">
    <w:name w:val="Email Char"/>
    <w:link w:val="Email"/>
    <w:uiPriority w:val="99"/>
    <w:locked/>
    <w:rPr>
      <w:rFonts w:ascii="Calibri" w:hAnsi="Calibri" w:cs="Calibri"/>
      <w:i/>
      <w:iCs/>
      <w:sz w:val="24"/>
      <w:szCs w:val="24"/>
      <w:lang w:val="en-GB" w:eastAsia="nl-NL"/>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link w:val="Header"/>
    <w:uiPriority w:val="99"/>
    <w:semiHidden/>
    <w:locked/>
    <w:rPr>
      <w:rFonts w:ascii="Calibri" w:hAnsi="Calibri" w:cs="Calibri"/>
      <w:sz w:val="24"/>
      <w:szCs w:val="24"/>
      <w:lang w:val="en-GB" w:eastAsia="nl-NL"/>
    </w:rPr>
  </w:style>
  <w:style w:type="character" w:customStyle="1" w:styleId="ReferencesChar">
    <w:name w:val="References Char"/>
    <w:link w:val="References"/>
    <w:uiPriority w:val="99"/>
    <w:locked/>
    <w:rPr>
      <w:rFonts w:ascii="Calibri" w:hAnsi="Calibri" w:cs="Calibri"/>
      <w:sz w:val="24"/>
      <w:szCs w:val="24"/>
      <w:lang w:val="en-GB" w:eastAsia="nl-NL"/>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link w:val="Footer"/>
    <w:uiPriority w:val="99"/>
    <w:semiHidden/>
    <w:locked/>
    <w:rPr>
      <w:rFonts w:ascii="Calibri" w:hAnsi="Calibri" w:cs="Calibri"/>
      <w:sz w:val="24"/>
      <w:szCs w:val="24"/>
      <w:lang w:val="en-GB" w:eastAsia="nl-NL"/>
    </w:rPr>
  </w:style>
  <w:style w:type="character" w:styleId="Hyperlink">
    <w:name w:val="Hyperlink"/>
    <w:uiPriority w:val="99"/>
    <w:rsid w:val="005C25DE"/>
    <w:rPr>
      <w:color w:val="0563C1"/>
      <w:u w:val="single"/>
    </w:rPr>
  </w:style>
  <w:style w:type="table" w:styleId="TableGrid">
    <w:name w:val="Table Grid"/>
    <w:basedOn w:val="TableNormal"/>
    <w:uiPriority w:val="9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sz w:val="20"/>
      <w:szCs w:val="20"/>
    </w:rPr>
  </w:style>
  <w:style w:type="character" w:customStyle="1" w:styleId="CommentTextChar">
    <w:name w:val="Comment Text Char"/>
    <w:link w:val="CommentText"/>
    <w:uiPriority w:val="99"/>
    <w:semiHidden/>
    <w:locked/>
    <w:rPr>
      <w:lang w:val="en-GB"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lang w:val="en-GB"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nl-NL"/>
    </w:rPr>
  </w:style>
  <w:style w:type="paragraph" w:styleId="Caption">
    <w:name w:val="caption"/>
    <w:basedOn w:val="Normal"/>
    <w:next w:val="Normal"/>
    <w:uiPriority w:val="99"/>
    <w:qFormat/>
    <w:rsid w:val="005C25DE"/>
    <w:pPr>
      <w:spacing w:after="200" w:line="240" w:lineRule="auto"/>
      <w:jc w:val="left"/>
    </w:pPr>
    <w:rPr>
      <w:i/>
      <w:iCs/>
      <w:color w:val="1F497D"/>
      <w:sz w:val="18"/>
      <w:szCs w:val="18"/>
      <w:lang w:val="en-US" w:eastAsia="en-US"/>
    </w:rPr>
  </w:style>
  <w:style w:type="table" w:customStyle="1" w:styleId="GridTable4-Accent11">
    <w:name w:val="Grid Table 4 - Accent 11"/>
    <w:uiPriority w:val="99"/>
    <w:rsid w:val="005C25DE"/>
    <w:rPr>
      <w:rFonts w:ascii="Calibri" w:hAnsi="Calibri" w:cs="Calibri"/>
      <w:lang w:val="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PlainTable31">
    <w:name w:val="Plain Table 31"/>
    <w:uiPriority w:val="99"/>
    <w:rsid w:val="00F56AD0"/>
    <w:rPr>
      <w:rFonts w:ascii="Calibri" w:hAnsi="Calibri"/>
    </w:rPr>
    <w:tblPr>
      <w:tblStyleRowBandSize w:val="1"/>
      <w:tblStyleColBandSize w:val="1"/>
      <w:tblCellMar>
        <w:top w:w="0" w:type="dxa"/>
        <w:left w:w="108" w:type="dxa"/>
        <w:bottom w:w="0" w:type="dxa"/>
        <w:right w:w="108" w:type="dxa"/>
      </w:tblCellMar>
    </w:tblPr>
  </w:style>
  <w:style w:type="table" w:customStyle="1" w:styleId="PlainTable41">
    <w:name w:val="Plain Table 41"/>
    <w:uiPriority w:val="99"/>
    <w:rsid w:val="00F56AD0"/>
    <w:rPr>
      <w:rFonts w:ascii="Calibri" w:hAnsi="Calibri"/>
    </w:rPr>
    <w:tblPr>
      <w:tblStyleRowBandSize w:val="1"/>
      <w:tblStyleColBandSize w:val="1"/>
      <w:tblCellMar>
        <w:top w:w="0" w:type="dxa"/>
        <w:left w:w="108" w:type="dxa"/>
        <w:bottom w:w="0" w:type="dxa"/>
        <w:right w:w="108" w:type="dxa"/>
      </w:tblCellMar>
    </w:tblPr>
  </w:style>
  <w:style w:type="paragraph" w:styleId="Bibliography">
    <w:name w:val="Bibliography"/>
    <w:basedOn w:val="Normal"/>
    <w:next w:val="Normal"/>
    <w:uiPriority w:val="99"/>
    <w:rsid w:val="004726FE"/>
    <w:pPr>
      <w:tabs>
        <w:tab w:val="left" w:pos="384"/>
      </w:tabs>
      <w:spacing w:after="240" w:line="240" w:lineRule="atLeast"/>
      <w:ind w:left="384" w:hanging="384"/>
    </w:pPr>
  </w:style>
  <w:style w:type="paragraph" w:styleId="Revision">
    <w:name w:val="Revision"/>
    <w:hidden/>
    <w:uiPriority w:val="99"/>
    <w:semiHidden/>
    <w:rsid w:val="00AC41AE"/>
    <w:rPr>
      <w:rFonts w:ascii="Calibri" w:hAnsi="Calibri" w:cs="Calibri"/>
      <w:sz w:val="24"/>
      <w:szCs w:val="24"/>
      <w:lang w:eastAsia="nl-NL"/>
    </w:rPr>
  </w:style>
  <w:style w:type="paragraph" w:styleId="ListParagraph">
    <w:name w:val="List Paragraph"/>
    <w:basedOn w:val="Normal"/>
    <w:uiPriority w:val="34"/>
    <w:qFormat/>
    <w:rsid w:val="00765C0C"/>
    <w:pPr>
      <w:ind w:left="720"/>
      <w:contextualSpacing/>
    </w:pPr>
  </w:style>
  <w:style w:type="character" w:customStyle="1" w:styleId="il">
    <w:name w:val="il"/>
    <w:basedOn w:val="DefaultParagraphFont"/>
    <w:rsid w:val="00D75499"/>
  </w:style>
  <w:style w:type="character" w:styleId="PlaceholderText">
    <w:name w:val="Placeholder Text"/>
    <w:basedOn w:val="DefaultParagraphFont"/>
    <w:uiPriority w:val="99"/>
    <w:semiHidden/>
    <w:rsid w:val="00615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n.redmud.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D5CE-EAF7-4197-A2DA-C6FF5C6F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Template_paper_proceedings_3rd_Slag_Valor_Symposium</vt:lpstr>
    </vt:vector>
  </TitlesOfParts>
  <Company>HP</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Template_paper_proceedings_3rd_Slag_Valor_Symposium</dc:title>
  <dc:subject/>
  <dc:creator>Slag Valorisation Symposium</dc:creator>
  <cp:keywords/>
  <dc:description/>
  <cp:lastModifiedBy>Andrei Goronovski</cp:lastModifiedBy>
  <cp:revision>10</cp:revision>
  <cp:lastPrinted>2018-01-24T09:02:00Z</cp:lastPrinted>
  <dcterms:created xsi:type="dcterms:W3CDTF">2018-01-03T09:46:00Z</dcterms:created>
  <dcterms:modified xsi:type="dcterms:W3CDTF">2018-01-24T10:03:00Z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058267aa-312f-36e4-8595-ed521d3c1557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http://www.zotero.org/styles/resources-conservation-and-recycling</vt:lpwstr>
  </property>
  <property fmtid="{D5CDD505-2E9C-101B-9397-08002B2CF9AE}" pid="24" name="Mendeley Recent Style Name 9_1">
    <vt:lpwstr>Resources, Conservation &amp; Recycling</vt:lpwstr>
  </property>
  <property fmtid="{D5CDD505-2E9C-101B-9397-08002B2CF9AE}" pid="25" name="ZOTERO_PREF_1">
    <vt:lpwstr>&lt;data data-version="3" zotero-version="5.0.32"&gt;&lt;session id="Yc8hfoys"/&gt;&lt;style id="http://www.zotero.org/styles/journal-of-sustainable-metallurgy" hasBibliography="1" bibliographyStyleHasBeenSet="1"/&gt;&lt;prefs&gt;&lt;pref name="fieldType" value="Field"/&gt;&lt;pref name=</vt:lpwstr>
  </property>
  <property fmtid="{D5CDD505-2E9C-101B-9397-08002B2CF9AE}" pid="26" name="ZOTERO_PREF_2">
    <vt:lpwstr>"automaticJournalAbbreviations" value="true"/&gt;&lt;pref name="noteType" value="0"/&gt;&lt;/prefs&gt;&lt;/data&gt;</vt:lpwstr>
  </property>
  <property fmtid="{D5CDD505-2E9C-101B-9397-08002B2CF9AE}" pid="27" name="ZOTERO_BREF_bIe9W4TpRXVc_1">
    <vt:lpwstr>ZOTERO_ITEM CSL_CITATION {"citationID":"a1ods5a5h5s","properties":{"formattedCitation":"[1]","plainCitation":"[1]"},"citationItems":[{"id":154,"uris":["http://zotero.org/users/2461731/items/RVQBTWGE"],"uri":["http://zotero.org/users/2461731/items/RVQBTWGE</vt:lpwstr>
  </property>
  <property fmtid="{D5CDD505-2E9C-101B-9397-08002B2CF9AE}" pid="28" name="ZOTERO_BREF_bIe9W4TpRXVc_2">
    <vt:lpwstr>"],"itemData":{"id":154,"type":"article-journal","title":"The mineralogy of bauxite for producing smelter-grade alumina","container-title":"JOM","page":"36-40","volume":"53","issue":"12","source":"link.springer.com.ezproxy.utlib.ee","abstract":"Aluminum-p</vt:lpwstr>
  </property>
  <property fmtid="{D5CDD505-2E9C-101B-9397-08002B2CF9AE}" pid="29" name="ZOTERO_BREF_bIe9W4TpRXVc_3">
    <vt:lpwstr>roducing companies rely on low-cost, high-purity, smelter-grade alumina (aluminum oxide), and alumina production utilizes the bulk of bauxites mined world-wide. The mineralogy of the bauxites has a significant impact on the operation of the Bayer process </vt:lpwstr>
  </property>
  <property fmtid="{D5CDD505-2E9C-101B-9397-08002B2CF9AE}" pid="30" name="ZOTERO_BREF_bIe9W4TpRXVc_4">
    <vt:lpwstr>for alumina production. Typically, the Bayer process produces smelter-grade alumina of 99.5% Al2O3, starting from bauxite containing 30% to 60% Al2O3. The main objective of the Bayer process is to extract the maximum amount of aluminum from the bauxite at</vt:lpwstr>
  </property>
  <property fmtid="{D5CDD505-2E9C-101B-9397-08002B2CF9AE}" pid="31" name="ZOTERO_BREF_bIe9W4TpRXVc_5">
    <vt:lpwstr> as high an aluminate concentration in solution as possible, while limiting any troublesome side reactions. Only with a better understanding of the chemistry of the mineral species and a strict control of the operating/processing conditions can the Bayer </vt:lpwstr>
  </property>
  <property fmtid="{D5CDD505-2E9C-101B-9397-08002B2CF9AE}" pid="32" name="ZOTERO_BREF_bIe9W4TpRXVc_6">
    <vt:lpwstr>process produce efficiently, a low cost, high-quality alumina with minimum detrimental environmental impact.","DOI":"10.1007/s11837-001-0011-1","ISSN":"1047-4838, 1543-1851","journalAbbreviation":"JOM","language":"en","author":[{"family":"Authier-Martin",</vt:lpwstr>
  </property>
  <property fmtid="{D5CDD505-2E9C-101B-9397-08002B2CF9AE}" pid="33" name="ZOTERO_BREF_bIe9W4TpRXVc_7">
    <vt:lpwstr>"given":"M."},{"family":"Forte","given":"G."},{"family":"Ostap","given":"S."},{"family":"See","given":"J."}],"issued":{"date-parts":[["2001",12]]}}}],"schema":"https://github.com/citation-style-language/schema/raw/master/csl-citation.json"}</vt:lpwstr>
  </property>
</Properties>
</file>